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D8" w:rsidRPr="00631610" w:rsidRDefault="00631610" w:rsidP="00631610">
      <w:pPr>
        <w:pStyle w:val="NoSpacing"/>
        <w:jc w:val="center"/>
        <w:rPr>
          <w:rFonts w:ascii="Garamond" w:hAnsi="Garamond"/>
          <w:b/>
          <w:i/>
          <w:sz w:val="24"/>
          <w:szCs w:val="24"/>
        </w:rPr>
      </w:pPr>
      <w:bookmarkStart w:id="0" w:name="_GoBack"/>
      <w:bookmarkEnd w:id="0"/>
      <w:r w:rsidRPr="00631610">
        <w:rPr>
          <w:rFonts w:ascii="Garamond" w:hAnsi="Garamond"/>
          <w:b/>
          <w:i/>
          <w:sz w:val="24"/>
          <w:szCs w:val="24"/>
        </w:rPr>
        <w:t>Invent the Future</w:t>
      </w:r>
    </w:p>
    <w:p w:rsidR="00631610" w:rsidRDefault="00631610" w:rsidP="00631610">
      <w:pPr>
        <w:pStyle w:val="NoSpacing"/>
        <w:jc w:val="center"/>
        <w:rPr>
          <w:rFonts w:ascii="Garamond" w:hAnsi="Garamond"/>
          <w:b/>
          <w:sz w:val="24"/>
          <w:szCs w:val="24"/>
        </w:rPr>
      </w:pPr>
    </w:p>
    <w:p w:rsidR="00631610" w:rsidRDefault="00631610" w:rsidP="00631610">
      <w:pPr>
        <w:pStyle w:val="NoSpacing"/>
        <w:jc w:val="center"/>
        <w:rPr>
          <w:rFonts w:ascii="Garamond" w:hAnsi="Garamond"/>
          <w:b/>
          <w:sz w:val="24"/>
          <w:szCs w:val="24"/>
        </w:rPr>
      </w:pPr>
      <w:r>
        <w:rPr>
          <w:rFonts w:ascii="Garamond" w:hAnsi="Garamond"/>
          <w:b/>
          <w:sz w:val="24"/>
          <w:szCs w:val="24"/>
        </w:rPr>
        <w:t>University of Wisconsin – Green Bay</w:t>
      </w:r>
    </w:p>
    <w:p w:rsidR="00631610" w:rsidRDefault="00631610" w:rsidP="00631610">
      <w:pPr>
        <w:pStyle w:val="NoSpacing"/>
        <w:jc w:val="center"/>
        <w:rPr>
          <w:rFonts w:ascii="Garamond" w:hAnsi="Garamond"/>
          <w:b/>
          <w:sz w:val="24"/>
          <w:szCs w:val="24"/>
        </w:rPr>
      </w:pPr>
    </w:p>
    <w:p w:rsidR="00631610" w:rsidRDefault="00631610" w:rsidP="00631610">
      <w:pPr>
        <w:pStyle w:val="NoSpacing"/>
        <w:jc w:val="center"/>
        <w:rPr>
          <w:rFonts w:ascii="Garamond" w:hAnsi="Garamond"/>
          <w:b/>
          <w:sz w:val="24"/>
          <w:szCs w:val="24"/>
        </w:rPr>
      </w:pPr>
      <w:r>
        <w:rPr>
          <w:rFonts w:ascii="Garamond" w:hAnsi="Garamond"/>
          <w:b/>
          <w:sz w:val="24"/>
          <w:szCs w:val="24"/>
        </w:rPr>
        <w:t>Design</w:t>
      </w:r>
    </w:p>
    <w:p w:rsidR="00631610" w:rsidRDefault="00631610" w:rsidP="00631610">
      <w:pPr>
        <w:pStyle w:val="NoSpacing"/>
        <w:jc w:val="center"/>
        <w:rPr>
          <w:rFonts w:ascii="Garamond" w:hAnsi="Garamond"/>
          <w:b/>
          <w:sz w:val="24"/>
          <w:szCs w:val="24"/>
        </w:rPr>
      </w:pPr>
    </w:p>
    <w:p w:rsidR="00631610" w:rsidRDefault="00631610" w:rsidP="00631610">
      <w:pPr>
        <w:pStyle w:val="NoSpacing"/>
        <w:jc w:val="center"/>
        <w:rPr>
          <w:rFonts w:ascii="Garamond" w:hAnsi="Garamond"/>
          <w:b/>
          <w:sz w:val="24"/>
          <w:szCs w:val="24"/>
        </w:rPr>
      </w:pPr>
      <w:r>
        <w:rPr>
          <w:rFonts w:ascii="Garamond" w:hAnsi="Garamond"/>
          <w:b/>
          <w:sz w:val="24"/>
          <w:szCs w:val="24"/>
        </w:rPr>
        <w:t>September 22, 2014</w:t>
      </w:r>
    </w:p>
    <w:p w:rsidR="00631610" w:rsidRDefault="00631610" w:rsidP="00631610">
      <w:pPr>
        <w:pStyle w:val="NoSpacing"/>
        <w:jc w:val="center"/>
        <w:rPr>
          <w:rFonts w:ascii="Garamond" w:hAnsi="Garamond"/>
          <w:b/>
          <w:sz w:val="24"/>
          <w:szCs w:val="24"/>
        </w:rPr>
      </w:pPr>
    </w:p>
    <w:p w:rsidR="008C5D9A" w:rsidRDefault="008C5D9A" w:rsidP="00631610">
      <w:pPr>
        <w:pStyle w:val="NoSpacing"/>
        <w:jc w:val="center"/>
        <w:rPr>
          <w:rFonts w:ascii="Garamond" w:hAnsi="Garamond"/>
          <w:b/>
          <w:sz w:val="24"/>
          <w:szCs w:val="24"/>
        </w:rPr>
      </w:pPr>
    </w:p>
    <w:p w:rsidR="008C5D9A" w:rsidRPr="008C5D9A" w:rsidRDefault="008C5D9A" w:rsidP="008C5D9A">
      <w:pPr>
        <w:pStyle w:val="NoSpacing"/>
        <w:jc w:val="center"/>
        <w:rPr>
          <w:rFonts w:ascii="Garamond" w:hAnsi="Garamond"/>
          <w:b/>
          <w:i/>
          <w:sz w:val="24"/>
          <w:szCs w:val="24"/>
        </w:rPr>
      </w:pPr>
      <w:r>
        <w:rPr>
          <w:rFonts w:ascii="Garamond" w:hAnsi="Garamond"/>
          <w:b/>
          <w:i/>
          <w:sz w:val="24"/>
          <w:szCs w:val="24"/>
        </w:rPr>
        <w:t xml:space="preserve">“The purpose of </w:t>
      </w:r>
      <w:r>
        <w:rPr>
          <w:rFonts w:ascii="Garamond" w:hAnsi="Garamond"/>
          <w:b/>
          <w:sz w:val="24"/>
          <w:szCs w:val="24"/>
        </w:rPr>
        <w:t xml:space="preserve">Invent the Future </w:t>
      </w:r>
      <w:r>
        <w:rPr>
          <w:rFonts w:ascii="Garamond" w:hAnsi="Garamond"/>
          <w:b/>
          <w:i/>
          <w:sz w:val="24"/>
          <w:szCs w:val="24"/>
        </w:rPr>
        <w:t xml:space="preserve">of the University of Wisconsin—Green Bay is </w:t>
      </w:r>
      <w:r w:rsidR="003B7B7E">
        <w:rPr>
          <w:rFonts w:ascii="Garamond" w:hAnsi="Garamond"/>
          <w:b/>
          <w:i/>
          <w:sz w:val="24"/>
          <w:szCs w:val="24"/>
        </w:rPr>
        <w:t xml:space="preserve">for the </w:t>
      </w:r>
      <w:r w:rsidR="00993A4A">
        <w:rPr>
          <w:rFonts w:ascii="Garamond" w:hAnsi="Garamond"/>
          <w:b/>
          <w:i/>
          <w:sz w:val="24"/>
          <w:szCs w:val="24"/>
        </w:rPr>
        <w:t>U</w:t>
      </w:r>
      <w:r w:rsidR="003B7B7E">
        <w:rPr>
          <w:rFonts w:ascii="Garamond" w:hAnsi="Garamond"/>
          <w:b/>
          <w:i/>
          <w:sz w:val="24"/>
          <w:szCs w:val="24"/>
        </w:rPr>
        <w:t xml:space="preserve">niversity </w:t>
      </w:r>
      <w:r>
        <w:rPr>
          <w:rFonts w:ascii="Garamond" w:hAnsi="Garamond"/>
          <w:b/>
          <w:i/>
          <w:sz w:val="24"/>
          <w:szCs w:val="24"/>
        </w:rPr>
        <w:t>t</w:t>
      </w:r>
      <w:r w:rsidRPr="008C5D9A">
        <w:rPr>
          <w:rFonts w:ascii="Garamond" w:hAnsi="Garamond"/>
          <w:b/>
          <w:i/>
          <w:sz w:val="24"/>
          <w:szCs w:val="24"/>
        </w:rPr>
        <w:t>o ref</w:t>
      </w:r>
      <w:r>
        <w:rPr>
          <w:rFonts w:ascii="Garamond" w:hAnsi="Garamond"/>
          <w:b/>
          <w:i/>
          <w:sz w:val="24"/>
          <w:szCs w:val="24"/>
        </w:rPr>
        <w:t>lect deeply about the strategy, operation, creative potential</w:t>
      </w:r>
      <w:r w:rsidR="003B7B7E">
        <w:rPr>
          <w:rFonts w:ascii="Garamond" w:hAnsi="Garamond"/>
          <w:b/>
          <w:i/>
          <w:sz w:val="24"/>
          <w:szCs w:val="24"/>
        </w:rPr>
        <w:t xml:space="preserve"> and organization of UW-Green Bay.  We will </w:t>
      </w:r>
      <w:r w:rsidRPr="008C5D9A">
        <w:rPr>
          <w:rFonts w:ascii="Garamond" w:hAnsi="Garamond"/>
          <w:b/>
          <w:i/>
          <w:sz w:val="24"/>
          <w:szCs w:val="24"/>
        </w:rPr>
        <w:t xml:space="preserve">develop </w:t>
      </w:r>
      <w:r>
        <w:rPr>
          <w:rFonts w:ascii="Garamond" w:hAnsi="Garamond"/>
          <w:b/>
          <w:i/>
          <w:sz w:val="24"/>
          <w:szCs w:val="24"/>
        </w:rPr>
        <w:t>and embrac</w:t>
      </w:r>
      <w:r w:rsidR="003B7B7E">
        <w:rPr>
          <w:rFonts w:ascii="Garamond" w:hAnsi="Garamond"/>
          <w:b/>
          <w:i/>
          <w:sz w:val="24"/>
          <w:szCs w:val="24"/>
        </w:rPr>
        <w:t>e</w:t>
      </w:r>
      <w:r>
        <w:rPr>
          <w:rFonts w:ascii="Garamond" w:hAnsi="Garamond"/>
          <w:b/>
          <w:i/>
          <w:sz w:val="24"/>
          <w:szCs w:val="24"/>
        </w:rPr>
        <w:t xml:space="preserve"> a</w:t>
      </w:r>
      <w:r w:rsidR="003B7B7E">
        <w:rPr>
          <w:rFonts w:ascii="Garamond" w:hAnsi="Garamond"/>
          <w:b/>
          <w:i/>
          <w:sz w:val="24"/>
          <w:szCs w:val="24"/>
        </w:rPr>
        <w:t xml:space="preserve">n innovative and growing </w:t>
      </w:r>
      <w:r w:rsidRPr="008C5D9A">
        <w:rPr>
          <w:rFonts w:ascii="Garamond" w:hAnsi="Garamond"/>
          <w:b/>
          <w:i/>
          <w:sz w:val="24"/>
          <w:szCs w:val="24"/>
        </w:rPr>
        <w:t xml:space="preserve">institution </w:t>
      </w:r>
      <w:r w:rsidR="003B7B7E">
        <w:rPr>
          <w:rFonts w:ascii="Garamond" w:hAnsi="Garamond"/>
          <w:b/>
          <w:i/>
          <w:sz w:val="24"/>
          <w:szCs w:val="24"/>
        </w:rPr>
        <w:t xml:space="preserve">in a time of great change </w:t>
      </w:r>
      <w:r w:rsidRPr="008C5D9A">
        <w:rPr>
          <w:rFonts w:ascii="Garamond" w:hAnsi="Garamond"/>
          <w:b/>
          <w:i/>
          <w:sz w:val="24"/>
          <w:szCs w:val="24"/>
        </w:rPr>
        <w:t>in American public higher education.”</w:t>
      </w:r>
      <w:r>
        <w:rPr>
          <w:rFonts w:ascii="Garamond" w:hAnsi="Garamond"/>
          <w:b/>
          <w:i/>
          <w:sz w:val="24"/>
          <w:szCs w:val="24"/>
        </w:rPr>
        <w:t xml:space="preserve">  Gary L. Miller, Chancellor</w:t>
      </w:r>
    </w:p>
    <w:p w:rsidR="008C5D9A" w:rsidRPr="008C5D9A" w:rsidRDefault="008C5D9A" w:rsidP="00631610">
      <w:pPr>
        <w:pStyle w:val="NoSpacing"/>
        <w:jc w:val="center"/>
        <w:rPr>
          <w:rFonts w:ascii="Garamond" w:hAnsi="Garamond"/>
          <w:b/>
          <w:i/>
          <w:sz w:val="24"/>
          <w:szCs w:val="24"/>
        </w:rPr>
      </w:pPr>
    </w:p>
    <w:p w:rsidR="00631610" w:rsidRDefault="00631610" w:rsidP="00631610">
      <w:pPr>
        <w:pStyle w:val="NoSpacing"/>
        <w:rPr>
          <w:rFonts w:ascii="Garamond" w:hAnsi="Garamond"/>
          <w:b/>
          <w:sz w:val="24"/>
          <w:szCs w:val="24"/>
        </w:rPr>
      </w:pPr>
    </w:p>
    <w:p w:rsidR="008C5D9A" w:rsidRPr="008C5D9A" w:rsidRDefault="008C5D9A" w:rsidP="00631610">
      <w:pPr>
        <w:pStyle w:val="NoSpacing"/>
        <w:rPr>
          <w:rFonts w:ascii="Garamond" w:hAnsi="Garamond"/>
          <w:b/>
          <w:sz w:val="24"/>
          <w:szCs w:val="24"/>
        </w:rPr>
      </w:pPr>
      <w:r>
        <w:rPr>
          <w:rFonts w:ascii="Garamond" w:hAnsi="Garamond"/>
          <w:b/>
          <w:sz w:val="24"/>
          <w:szCs w:val="24"/>
        </w:rPr>
        <w:t>Introduction</w:t>
      </w:r>
    </w:p>
    <w:p w:rsidR="008C5D9A" w:rsidRDefault="008C5D9A" w:rsidP="00631610">
      <w:pPr>
        <w:pStyle w:val="NoSpacing"/>
        <w:rPr>
          <w:rFonts w:ascii="Garamond" w:hAnsi="Garamond"/>
          <w:sz w:val="24"/>
          <w:szCs w:val="24"/>
        </w:rPr>
      </w:pPr>
    </w:p>
    <w:p w:rsidR="00631610" w:rsidRDefault="008C5D9A" w:rsidP="00631610">
      <w:pPr>
        <w:pStyle w:val="NoSpacing"/>
        <w:rPr>
          <w:rFonts w:ascii="Garamond" w:hAnsi="Garamond"/>
          <w:sz w:val="24"/>
          <w:szCs w:val="24"/>
        </w:rPr>
      </w:pPr>
      <w:r>
        <w:rPr>
          <w:rFonts w:ascii="Garamond" w:hAnsi="Garamond"/>
          <w:sz w:val="24"/>
          <w:szCs w:val="24"/>
        </w:rPr>
        <w:t>The transition of a new Chancellor is a unique opportunity for an institution to reflect on its values, mission and future.  The opportunity for this reflection is particularly important at this time of great change in American</w:t>
      </w:r>
      <w:r w:rsidR="00867899">
        <w:rPr>
          <w:rFonts w:ascii="Garamond" w:hAnsi="Garamond"/>
          <w:sz w:val="24"/>
          <w:szCs w:val="24"/>
        </w:rPr>
        <w:t xml:space="preserve"> public</w:t>
      </w:r>
      <w:r>
        <w:rPr>
          <w:rFonts w:ascii="Garamond" w:hAnsi="Garamond"/>
          <w:sz w:val="24"/>
          <w:szCs w:val="24"/>
        </w:rPr>
        <w:t xml:space="preserve"> higher education and in response to the changing demographic and economic environment in Wisconsin.  The </w:t>
      </w:r>
      <w:r>
        <w:rPr>
          <w:rFonts w:ascii="Garamond" w:hAnsi="Garamond"/>
          <w:i/>
          <w:sz w:val="24"/>
          <w:szCs w:val="24"/>
        </w:rPr>
        <w:t xml:space="preserve">Invent the Future </w:t>
      </w:r>
      <w:r>
        <w:rPr>
          <w:rFonts w:ascii="Garamond" w:hAnsi="Garamond"/>
          <w:sz w:val="24"/>
          <w:szCs w:val="24"/>
        </w:rPr>
        <w:t xml:space="preserve">initiative is a coordinated, institution-wide process </w:t>
      </w:r>
      <w:r w:rsidR="00E93F38">
        <w:rPr>
          <w:rFonts w:ascii="Garamond" w:hAnsi="Garamond"/>
          <w:sz w:val="24"/>
          <w:szCs w:val="24"/>
        </w:rPr>
        <w:t xml:space="preserve">designed to accomplish this institutional self-reflection over the </w:t>
      </w:r>
      <w:proofErr w:type="gramStart"/>
      <w:r w:rsidR="00E93F38">
        <w:rPr>
          <w:rFonts w:ascii="Garamond" w:hAnsi="Garamond"/>
          <w:sz w:val="24"/>
          <w:szCs w:val="24"/>
        </w:rPr>
        <w:t>eight month</w:t>
      </w:r>
      <w:proofErr w:type="gramEnd"/>
      <w:r w:rsidR="00E93F38">
        <w:rPr>
          <w:rFonts w:ascii="Garamond" w:hAnsi="Garamond"/>
          <w:sz w:val="24"/>
          <w:szCs w:val="24"/>
        </w:rPr>
        <w:t xml:space="preserve"> period between October 2014 and May 2015.  The initiative will be accomplished even as the operations of the university continue and, thus, will require enormous energy and commitment from everyone on campus.  The goal is </w:t>
      </w:r>
      <w:r w:rsidR="00867899">
        <w:rPr>
          <w:rFonts w:ascii="Garamond" w:hAnsi="Garamond"/>
          <w:sz w:val="24"/>
          <w:szCs w:val="24"/>
        </w:rPr>
        <w:t xml:space="preserve">the development of </w:t>
      </w:r>
      <w:r w:rsidR="00E93F38">
        <w:rPr>
          <w:rFonts w:ascii="Garamond" w:hAnsi="Garamond"/>
          <w:sz w:val="24"/>
          <w:szCs w:val="24"/>
        </w:rPr>
        <w:t xml:space="preserve">a clear and compelling vision of the future of the University of Wisconsin – Green </w:t>
      </w:r>
      <w:r w:rsidR="00867899">
        <w:rPr>
          <w:rFonts w:ascii="Garamond" w:hAnsi="Garamond"/>
          <w:sz w:val="24"/>
          <w:szCs w:val="24"/>
        </w:rPr>
        <w:t xml:space="preserve">Bay along with strong recommendations about how to achieve that vision. </w:t>
      </w:r>
    </w:p>
    <w:p w:rsidR="00D32AF6" w:rsidRDefault="00D32AF6" w:rsidP="00631610">
      <w:pPr>
        <w:pStyle w:val="NoSpacing"/>
        <w:rPr>
          <w:rFonts w:ascii="Garamond" w:hAnsi="Garamond"/>
          <w:sz w:val="24"/>
          <w:szCs w:val="24"/>
        </w:rPr>
      </w:pPr>
    </w:p>
    <w:p w:rsidR="00D32AF6" w:rsidRDefault="00D32AF6" w:rsidP="00631610">
      <w:pPr>
        <w:pStyle w:val="NoSpacing"/>
        <w:rPr>
          <w:rFonts w:ascii="Garamond" w:hAnsi="Garamond"/>
          <w:i/>
          <w:sz w:val="24"/>
          <w:szCs w:val="24"/>
        </w:rPr>
      </w:pPr>
      <w:r>
        <w:rPr>
          <w:rFonts w:ascii="Garamond" w:hAnsi="Garamond"/>
          <w:b/>
          <w:sz w:val="24"/>
          <w:szCs w:val="24"/>
        </w:rPr>
        <w:t xml:space="preserve">Goals of </w:t>
      </w:r>
      <w:r>
        <w:rPr>
          <w:rFonts w:ascii="Garamond" w:hAnsi="Garamond"/>
          <w:b/>
          <w:i/>
          <w:sz w:val="24"/>
          <w:szCs w:val="24"/>
        </w:rPr>
        <w:t>Invent the Future</w:t>
      </w:r>
    </w:p>
    <w:p w:rsidR="00D32AF6" w:rsidRDefault="00D32AF6" w:rsidP="00631610">
      <w:pPr>
        <w:pStyle w:val="NoSpacing"/>
        <w:rPr>
          <w:rFonts w:ascii="Garamond" w:hAnsi="Garamond"/>
          <w:i/>
          <w:sz w:val="24"/>
          <w:szCs w:val="24"/>
        </w:rPr>
      </w:pPr>
    </w:p>
    <w:p w:rsidR="00D32AF6" w:rsidRDefault="00D32AF6" w:rsidP="00631610">
      <w:pPr>
        <w:pStyle w:val="NoSpacing"/>
        <w:rPr>
          <w:rFonts w:ascii="Garamond" w:hAnsi="Garamond"/>
          <w:sz w:val="24"/>
          <w:szCs w:val="24"/>
        </w:rPr>
      </w:pPr>
      <w:r>
        <w:rPr>
          <w:rFonts w:ascii="Garamond" w:hAnsi="Garamond"/>
          <w:sz w:val="24"/>
          <w:szCs w:val="24"/>
        </w:rPr>
        <w:t xml:space="preserve">The activities of the </w:t>
      </w:r>
      <w:r>
        <w:rPr>
          <w:rFonts w:ascii="Garamond" w:hAnsi="Garamond"/>
          <w:i/>
          <w:sz w:val="24"/>
          <w:szCs w:val="24"/>
        </w:rPr>
        <w:t>Invent the Future</w:t>
      </w:r>
      <w:r>
        <w:rPr>
          <w:rFonts w:ascii="Garamond" w:hAnsi="Garamond"/>
          <w:sz w:val="24"/>
          <w:szCs w:val="24"/>
        </w:rPr>
        <w:t xml:space="preserve"> initiative are designed to accomplish the following specific goals: </w:t>
      </w:r>
    </w:p>
    <w:p w:rsidR="00D32AF6" w:rsidRDefault="00D32AF6" w:rsidP="00631610">
      <w:pPr>
        <w:pStyle w:val="NoSpacing"/>
        <w:rPr>
          <w:rFonts w:ascii="Garamond" w:hAnsi="Garamond"/>
          <w:sz w:val="24"/>
          <w:szCs w:val="24"/>
        </w:rPr>
      </w:pPr>
    </w:p>
    <w:p w:rsidR="00D32AF6" w:rsidRDefault="00D32AF6" w:rsidP="00D32AF6">
      <w:pPr>
        <w:pStyle w:val="NoSpacing"/>
        <w:numPr>
          <w:ilvl w:val="0"/>
          <w:numId w:val="1"/>
        </w:numPr>
        <w:rPr>
          <w:rFonts w:ascii="Garamond" w:hAnsi="Garamond"/>
          <w:sz w:val="24"/>
          <w:szCs w:val="24"/>
        </w:rPr>
      </w:pPr>
      <w:r>
        <w:rPr>
          <w:rFonts w:ascii="Garamond" w:hAnsi="Garamond"/>
          <w:sz w:val="24"/>
          <w:szCs w:val="24"/>
        </w:rPr>
        <w:t xml:space="preserve">Review current approach in critical operational areas. </w:t>
      </w:r>
    </w:p>
    <w:p w:rsidR="00D32AF6" w:rsidRDefault="00D32AF6" w:rsidP="00D32AF6">
      <w:pPr>
        <w:pStyle w:val="NoSpacing"/>
        <w:numPr>
          <w:ilvl w:val="0"/>
          <w:numId w:val="1"/>
        </w:numPr>
        <w:rPr>
          <w:rFonts w:ascii="Garamond" w:hAnsi="Garamond"/>
          <w:sz w:val="24"/>
          <w:szCs w:val="24"/>
        </w:rPr>
      </w:pPr>
      <w:r>
        <w:rPr>
          <w:rFonts w:ascii="Garamond" w:hAnsi="Garamond"/>
          <w:sz w:val="24"/>
          <w:szCs w:val="24"/>
        </w:rPr>
        <w:t>Review articulation</w:t>
      </w:r>
      <w:r w:rsidR="00867899">
        <w:rPr>
          <w:rFonts w:ascii="Garamond" w:hAnsi="Garamond"/>
          <w:sz w:val="24"/>
          <w:szCs w:val="24"/>
        </w:rPr>
        <w:t xml:space="preserve"> and efficacy</w:t>
      </w:r>
      <w:r>
        <w:rPr>
          <w:rFonts w:ascii="Garamond" w:hAnsi="Garamond"/>
          <w:sz w:val="24"/>
          <w:szCs w:val="24"/>
        </w:rPr>
        <w:t xml:space="preserve"> of the interdisciplinary approach. </w:t>
      </w:r>
    </w:p>
    <w:p w:rsidR="00D32AF6" w:rsidRDefault="00D32AF6" w:rsidP="00D32AF6">
      <w:pPr>
        <w:pStyle w:val="NoSpacing"/>
        <w:numPr>
          <w:ilvl w:val="0"/>
          <w:numId w:val="1"/>
        </w:numPr>
        <w:rPr>
          <w:rFonts w:ascii="Garamond" w:hAnsi="Garamond"/>
          <w:sz w:val="24"/>
          <w:szCs w:val="24"/>
        </w:rPr>
      </w:pPr>
      <w:r>
        <w:rPr>
          <w:rFonts w:ascii="Garamond" w:hAnsi="Garamond"/>
          <w:sz w:val="24"/>
          <w:szCs w:val="24"/>
        </w:rPr>
        <w:t xml:space="preserve">Review university organizational structure in relationship to dynamic environment in higher education. </w:t>
      </w:r>
    </w:p>
    <w:p w:rsidR="00D32AF6" w:rsidRDefault="00D32AF6" w:rsidP="00D32AF6">
      <w:pPr>
        <w:pStyle w:val="NoSpacing"/>
        <w:numPr>
          <w:ilvl w:val="0"/>
          <w:numId w:val="1"/>
        </w:numPr>
        <w:rPr>
          <w:rFonts w:ascii="Garamond" w:hAnsi="Garamond"/>
          <w:sz w:val="24"/>
          <w:szCs w:val="24"/>
        </w:rPr>
      </w:pPr>
      <w:r>
        <w:rPr>
          <w:rFonts w:ascii="Garamond" w:hAnsi="Garamond"/>
          <w:sz w:val="24"/>
          <w:szCs w:val="24"/>
        </w:rPr>
        <w:t xml:space="preserve">Review institutional approach to community partnerships.  </w:t>
      </w:r>
    </w:p>
    <w:p w:rsidR="00D32AF6" w:rsidRDefault="00D32AF6" w:rsidP="00D32AF6">
      <w:pPr>
        <w:pStyle w:val="NoSpacing"/>
        <w:rPr>
          <w:rFonts w:ascii="Garamond" w:hAnsi="Garamond"/>
          <w:sz w:val="24"/>
          <w:szCs w:val="24"/>
        </w:rPr>
      </w:pPr>
    </w:p>
    <w:p w:rsidR="00D32AF6" w:rsidRPr="00D32AF6" w:rsidRDefault="00D32AF6" w:rsidP="00D32AF6">
      <w:pPr>
        <w:pStyle w:val="NoSpacing"/>
        <w:rPr>
          <w:rFonts w:ascii="Garamond" w:hAnsi="Garamond"/>
          <w:sz w:val="24"/>
          <w:szCs w:val="24"/>
        </w:rPr>
      </w:pPr>
      <w:r>
        <w:rPr>
          <w:rFonts w:ascii="Garamond" w:hAnsi="Garamond"/>
          <w:sz w:val="24"/>
          <w:szCs w:val="24"/>
        </w:rPr>
        <w:t>In addition to</w:t>
      </w:r>
      <w:r w:rsidR="001905AE">
        <w:rPr>
          <w:rFonts w:ascii="Garamond" w:hAnsi="Garamond"/>
          <w:sz w:val="24"/>
          <w:szCs w:val="24"/>
        </w:rPr>
        <w:t xml:space="preserve"> these goals, a new</w:t>
      </w:r>
      <w:r w:rsidR="00867899">
        <w:rPr>
          <w:rFonts w:ascii="Garamond" w:hAnsi="Garamond"/>
          <w:sz w:val="24"/>
          <w:szCs w:val="24"/>
        </w:rPr>
        <w:t xml:space="preserve"> more transparent</w:t>
      </w:r>
      <w:r w:rsidR="001905AE">
        <w:rPr>
          <w:rFonts w:ascii="Garamond" w:hAnsi="Garamond"/>
          <w:sz w:val="24"/>
          <w:szCs w:val="24"/>
        </w:rPr>
        <w:t xml:space="preserve"> process for university planning and innovation is being implemented (see University Planning Design attached).  </w:t>
      </w:r>
    </w:p>
    <w:p w:rsidR="001436E5" w:rsidRDefault="001436E5" w:rsidP="00631610">
      <w:pPr>
        <w:pStyle w:val="NoSpacing"/>
        <w:rPr>
          <w:rFonts w:ascii="Garamond" w:hAnsi="Garamond"/>
          <w:b/>
          <w:sz w:val="24"/>
          <w:szCs w:val="24"/>
        </w:rPr>
      </w:pPr>
    </w:p>
    <w:p w:rsidR="001436E5" w:rsidRDefault="001436E5" w:rsidP="00631610">
      <w:pPr>
        <w:pStyle w:val="NoSpacing"/>
        <w:rPr>
          <w:rFonts w:ascii="Garamond" w:hAnsi="Garamond"/>
          <w:b/>
          <w:sz w:val="24"/>
          <w:szCs w:val="24"/>
        </w:rPr>
      </w:pPr>
      <w:r>
        <w:rPr>
          <w:rFonts w:ascii="Garamond" w:hAnsi="Garamond"/>
          <w:b/>
          <w:i/>
          <w:sz w:val="24"/>
          <w:szCs w:val="24"/>
        </w:rPr>
        <w:t xml:space="preserve">Invent the Future </w:t>
      </w:r>
      <w:r>
        <w:rPr>
          <w:rFonts w:ascii="Garamond" w:hAnsi="Garamond"/>
          <w:b/>
          <w:sz w:val="24"/>
          <w:szCs w:val="24"/>
        </w:rPr>
        <w:t xml:space="preserve">Structure </w:t>
      </w:r>
    </w:p>
    <w:p w:rsidR="001436E5" w:rsidRDefault="001436E5" w:rsidP="00631610">
      <w:pPr>
        <w:pStyle w:val="NoSpacing"/>
        <w:rPr>
          <w:rFonts w:ascii="Garamond" w:hAnsi="Garamond"/>
          <w:b/>
          <w:sz w:val="24"/>
          <w:szCs w:val="24"/>
        </w:rPr>
      </w:pPr>
    </w:p>
    <w:p w:rsidR="001905AE" w:rsidRDefault="001905AE" w:rsidP="00631610">
      <w:pPr>
        <w:pStyle w:val="NoSpacing"/>
        <w:rPr>
          <w:rFonts w:ascii="Garamond" w:hAnsi="Garamond"/>
          <w:sz w:val="24"/>
          <w:szCs w:val="24"/>
        </w:rPr>
      </w:pPr>
      <w:r>
        <w:rPr>
          <w:rFonts w:ascii="Garamond" w:hAnsi="Garamond"/>
          <w:sz w:val="24"/>
          <w:szCs w:val="24"/>
        </w:rPr>
        <w:t xml:space="preserve">The structure for </w:t>
      </w:r>
      <w:r>
        <w:rPr>
          <w:rFonts w:ascii="Garamond" w:hAnsi="Garamond"/>
          <w:i/>
          <w:sz w:val="24"/>
          <w:szCs w:val="24"/>
        </w:rPr>
        <w:t>Invent the Future</w:t>
      </w:r>
      <w:r>
        <w:rPr>
          <w:rFonts w:ascii="Garamond" w:hAnsi="Garamond"/>
          <w:sz w:val="24"/>
          <w:szCs w:val="24"/>
        </w:rPr>
        <w:t xml:space="preserve"> is depicted in Figure 1.   Separate working groups will consider the University’s approach in four important areas:  Innovation and growth, enrollment, academic portfolio and partnerships and external affairs.  The activities of these groups will be organized and supported by a Steering Committee.  </w:t>
      </w:r>
    </w:p>
    <w:p w:rsidR="00DA174F" w:rsidRDefault="00DA174F" w:rsidP="00631610">
      <w:pPr>
        <w:pStyle w:val="NoSpacing"/>
        <w:rPr>
          <w:rFonts w:ascii="Garamond" w:hAnsi="Garamond"/>
          <w:sz w:val="24"/>
          <w:szCs w:val="24"/>
        </w:rPr>
      </w:pPr>
    </w:p>
    <w:p w:rsidR="00DA174F" w:rsidRDefault="00DA174F" w:rsidP="00631610">
      <w:pPr>
        <w:pStyle w:val="NoSpacing"/>
        <w:rPr>
          <w:rFonts w:ascii="Garamond" w:hAnsi="Garamond"/>
          <w:sz w:val="24"/>
          <w:szCs w:val="24"/>
        </w:rPr>
      </w:pPr>
      <w:r>
        <w:rPr>
          <w:rFonts w:ascii="Garamond" w:hAnsi="Garamond"/>
          <w:sz w:val="24"/>
          <w:szCs w:val="24"/>
        </w:rPr>
        <w:t xml:space="preserve">Working with university governance and senior leadership, the Steering Committee will develop the membership for the working groups.  </w:t>
      </w:r>
      <w:proofErr w:type="gramStart"/>
      <w:r>
        <w:rPr>
          <w:rFonts w:ascii="Garamond" w:hAnsi="Garamond"/>
          <w:sz w:val="24"/>
          <w:szCs w:val="24"/>
        </w:rPr>
        <w:t>Members will be appointed by the Chancellor</w:t>
      </w:r>
      <w:proofErr w:type="gramEnd"/>
      <w:r>
        <w:rPr>
          <w:rFonts w:ascii="Garamond" w:hAnsi="Garamond"/>
          <w:sz w:val="24"/>
          <w:szCs w:val="24"/>
        </w:rPr>
        <w:t xml:space="preserve">.  Some overlap in working group membership is desirable in order to encourage the broadest discussions possible.  </w:t>
      </w:r>
    </w:p>
    <w:p w:rsidR="001905AE" w:rsidRDefault="001905AE" w:rsidP="00631610">
      <w:pPr>
        <w:pStyle w:val="NoSpacing"/>
        <w:rPr>
          <w:rFonts w:ascii="Garamond" w:hAnsi="Garamond"/>
          <w:sz w:val="24"/>
          <w:szCs w:val="24"/>
        </w:rPr>
      </w:pPr>
    </w:p>
    <w:p w:rsidR="001905AE" w:rsidRPr="001905AE" w:rsidRDefault="001905AE" w:rsidP="00631610">
      <w:pPr>
        <w:pStyle w:val="NoSpacing"/>
        <w:rPr>
          <w:rFonts w:ascii="Garamond" w:hAnsi="Garamond"/>
          <w:sz w:val="24"/>
          <w:szCs w:val="24"/>
        </w:rPr>
      </w:pPr>
      <w:r w:rsidRPr="001905AE">
        <w:rPr>
          <w:rFonts w:ascii="Garamond" w:hAnsi="Garamond"/>
          <w:noProof/>
          <w:sz w:val="24"/>
          <w:szCs w:val="24"/>
        </w:rPr>
        <w:drawing>
          <wp:inline distT="0" distB="0" distL="0" distR="0" wp14:anchorId="5A05D232" wp14:editId="5A63E1D0">
            <wp:extent cx="2837371" cy="159571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6660" cy="1606566"/>
                    </a:xfrm>
                    <a:prstGeom prst="rect">
                      <a:avLst/>
                    </a:prstGeom>
                  </pic:spPr>
                </pic:pic>
              </a:graphicData>
            </a:graphic>
          </wp:inline>
        </w:drawing>
      </w:r>
    </w:p>
    <w:p w:rsidR="001436E5" w:rsidRDefault="001905AE" w:rsidP="00631610">
      <w:pPr>
        <w:pStyle w:val="NoSpacing"/>
        <w:rPr>
          <w:rFonts w:ascii="Garamond" w:hAnsi="Garamond"/>
          <w:sz w:val="24"/>
          <w:szCs w:val="24"/>
        </w:rPr>
      </w:pPr>
      <w:r>
        <w:rPr>
          <w:rFonts w:ascii="Garamond" w:hAnsi="Garamond"/>
          <w:sz w:val="24"/>
          <w:szCs w:val="24"/>
        </w:rPr>
        <w:t xml:space="preserve">Figure 1.  </w:t>
      </w:r>
      <w:r>
        <w:rPr>
          <w:rFonts w:ascii="Garamond" w:hAnsi="Garamond"/>
          <w:i/>
          <w:sz w:val="24"/>
          <w:szCs w:val="24"/>
        </w:rPr>
        <w:t xml:space="preserve">Invent the Future </w:t>
      </w:r>
      <w:r>
        <w:rPr>
          <w:rFonts w:ascii="Garamond" w:hAnsi="Garamond"/>
          <w:sz w:val="24"/>
          <w:szCs w:val="24"/>
        </w:rPr>
        <w:t xml:space="preserve">Design. </w:t>
      </w:r>
    </w:p>
    <w:p w:rsidR="001905AE" w:rsidRDefault="001905AE" w:rsidP="00631610">
      <w:pPr>
        <w:pStyle w:val="NoSpacing"/>
        <w:rPr>
          <w:rFonts w:ascii="Garamond" w:hAnsi="Garamond"/>
          <w:sz w:val="24"/>
          <w:szCs w:val="24"/>
        </w:rPr>
      </w:pPr>
    </w:p>
    <w:p w:rsidR="001905AE" w:rsidRPr="00DA174F" w:rsidRDefault="00DA174F" w:rsidP="00631610">
      <w:pPr>
        <w:pStyle w:val="NoSpacing"/>
        <w:rPr>
          <w:rFonts w:ascii="Garamond" w:hAnsi="Garamond"/>
          <w:b/>
          <w:sz w:val="24"/>
          <w:szCs w:val="24"/>
        </w:rPr>
      </w:pPr>
      <w:r w:rsidRPr="00DA174F">
        <w:rPr>
          <w:rFonts w:ascii="Garamond" w:hAnsi="Garamond"/>
          <w:b/>
          <w:sz w:val="24"/>
          <w:szCs w:val="24"/>
        </w:rPr>
        <w:t xml:space="preserve">Group Charges </w:t>
      </w:r>
      <w:r>
        <w:rPr>
          <w:rFonts w:ascii="Garamond" w:hAnsi="Garamond"/>
          <w:b/>
          <w:sz w:val="24"/>
          <w:szCs w:val="24"/>
        </w:rPr>
        <w:t>and Goals</w:t>
      </w:r>
    </w:p>
    <w:p w:rsidR="001436E5" w:rsidRDefault="001436E5" w:rsidP="00631610">
      <w:pPr>
        <w:pStyle w:val="NoSpacing"/>
        <w:rPr>
          <w:rFonts w:ascii="Garamond" w:hAnsi="Garamond"/>
          <w:b/>
          <w:sz w:val="24"/>
          <w:szCs w:val="24"/>
        </w:rPr>
      </w:pPr>
    </w:p>
    <w:p w:rsidR="00DF0F2C" w:rsidRDefault="00DA174F" w:rsidP="00631610">
      <w:pPr>
        <w:pStyle w:val="NoSpacing"/>
        <w:rPr>
          <w:rFonts w:ascii="Garamond" w:hAnsi="Garamond"/>
          <w:sz w:val="24"/>
          <w:szCs w:val="24"/>
        </w:rPr>
      </w:pPr>
      <w:r>
        <w:rPr>
          <w:rFonts w:ascii="Garamond" w:hAnsi="Garamond"/>
          <w:sz w:val="24"/>
          <w:szCs w:val="24"/>
        </w:rPr>
        <w:t xml:space="preserve">Following are the initial charges and goals for the Steering Committee and each of the working groups.  While each group has a specific charge, there are elements for consideration that transcend all groups.  For example, as they discuss their topic, each working group should consider broad university structure such as organization, leadership and external factors.  </w:t>
      </w:r>
      <w:r w:rsidR="0024413B">
        <w:rPr>
          <w:rFonts w:ascii="Garamond" w:hAnsi="Garamond"/>
          <w:sz w:val="24"/>
          <w:szCs w:val="24"/>
        </w:rPr>
        <w:t xml:space="preserve">Moreover, it is essential that each working group provide insights and recommendations about how President Cross’ system-wide talent initiative will operate at UWGB. </w:t>
      </w:r>
    </w:p>
    <w:p w:rsidR="00DF0F2C" w:rsidRDefault="00DF0F2C" w:rsidP="00631610">
      <w:pPr>
        <w:pStyle w:val="NoSpacing"/>
        <w:rPr>
          <w:rFonts w:ascii="Garamond" w:hAnsi="Garamond"/>
          <w:sz w:val="24"/>
          <w:szCs w:val="24"/>
        </w:rPr>
      </w:pPr>
    </w:p>
    <w:p w:rsidR="00DA174F" w:rsidRDefault="00DF0F2C" w:rsidP="00631610">
      <w:pPr>
        <w:pStyle w:val="NoSpacing"/>
        <w:rPr>
          <w:rFonts w:ascii="Garamond" w:hAnsi="Garamond"/>
          <w:sz w:val="24"/>
          <w:szCs w:val="24"/>
        </w:rPr>
      </w:pPr>
      <w:r>
        <w:rPr>
          <w:rFonts w:ascii="Garamond" w:hAnsi="Garamond"/>
          <w:sz w:val="24"/>
          <w:szCs w:val="24"/>
        </w:rPr>
        <w:t xml:space="preserve">An important goal of this process is to create an environment for innovative thinking about the future of the university.  Thus, the charges of the various working groups are designed as starting points for the group.  It is hoped innovative directions will emerge from the work of each group.  </w:t>
      </w:r>
      <w:r w:rsidR="0024413B">
        <w:rPr>
          <w:rFonts w:ascii="Garamond" w:hAnsi="Garamond"/>
          <w:sz w:val="24"/>
          <w:szCs w:val="24"/>
        </w:rPr>
        <w:t xml:space="preserve"> </w:t>
      </w:r>
    </w:p>
    <w:p w:rsidR="00DA174F" w:rsidRDefault="00DA174F" w:rsidP="00631610">
      <w:pPr>
        <w:pStyle w:val="NoSpacing"/>
        <w:rPr>
          <w:rFonts w:ascii="Garamond" w:hAnsi="Garamond"/>
          <w:sz w:val="24"/>
          <w:szCs w:val="24"/>
        </w:rPr>
      </w:pPr>
    </w:p>
    <w:p w:rsidR="00DA174F" w:rsidRPr="00DA174F" w:rsidRDefault="00DA174F" w:rsidP="00631610">
      <w:pPr>
        <w:pStyle w:val="NoSpacing"/>
        <w:rPr>
          <w:rFonts w:ascii="Garamond" w:hAnsi="Garamond"/>
          <w:sz w:val="24"/>
          <w:szCs w:val="24"/>
          <w:u w:val="single"/>
        </w:rPr>
      </w:pPr>
      <w:r w:rsidRPr="00DA174F">
        <w:rPr>
          <w:rFonts w:ascii="Garamond" w:hAnsi="Garamond"/>
          <w:i/>
          <w:sz w:val="24"/>
          <w:szCs w:val="24"/>
          <w:u w:val="single"/>
        </w:rPr>
        <w:t xml:space="preserve">Steering Committee </w:t>
      </w:r>
    </w:p>
    <w:p w:rsidR="00DA174F" w:rsidRDefault="00DA174F" w:rsidP="00631610">
      <w:pPr>
        <w:pStyle w:val="NoSpacing"/>
        <w:rPr>
          <w:rFonts w:ascii="Garamond" w:hAnsi="Garamond"/>
          <w:sz w:val="24"/>
          <w:szCs w:val="24"/>
        </w:rPr>
      </w:pPr>
      <w:r>
        <w:rPr>
          <w:rFonts w:ascii="Garamond" w:hAnsi="Garamond"/>
          <w:i/>
          <w:sz w:val="24"/>
          <w:szCs w:val="24"/>
        </w:rPr>
        <w:t xml:space="preserve"> </w:t>
      </w:r>
    </w:p>
    <w:p w:rsidR="00DF0F2C" w:rsidRPr="00DF0F2C" w:rsidRDefault="00DF0F2C" w:rsidP="00631610">
      <w:pPr>
        <w:pStyle w:val="NoSpacing"/>
        <w:rPr>
          <w:rFonts w:ascii="Garamond" w:hAnsi="Garamond"/>
          <w:sz w:val="24"/>
          <w:szCs w:val="24"/>
        </w:rPr>
      </w:pPr>
      <w:r>
        <w:rPr>
          <w:rFonts w:ascii="Garamond" w:hAnsi="Garamond"/>
          <w:sz w:val="24"/>
          <w:szCs w:val="24"/>
        </w:rPr>
        <w:t xml:space="preserve">The Chancellor’s Search and Screen Committee has been re-tasked to serve as the Steering Committee for the </w:t>
      </w:r>
      <w:r>
        <w:rPr>
          <w:rFonts w:ascii="Garamond" w:hAnsi="Garamond"/>
          <w:i/>
          <w:sz w:val="24"/>
          <w:szCs w:val="24"/>
        </w:rPr>
        <w:t>Invent the Future</w:t>
      </w:r>
      <w:r>
        <w:rPr>
          <w:rFonts w:ascii="Garamond" w:hAnsi="Garamond"/>
          <w:sz w:val="24"/>
          <w:szCs w:val="24"/>
        </w:rPr>
        <w:t xml:space="preserve"> initiative.  Through its extended work together in the Chancellor search process that group developed a unique perspective about the University’s challenges and opportunities and its leadership position in Wisconsin and the nation.  The group has also developed a highly collaborative and collegial working relationship that will help it work efficiently.  </w:t>
      </w:r>
    </w:p>
    <w:p w:rsidR="00DF0F2C" w:rsidRDefault="00DF0F2C" w:rsidP="00631610">
      <w:pPr>
        <w:pStyle w:val="NoSpacing"/>
        <w:rPr>
          <w:rFonts w:ascii="Garamond" w:hAnsi="Garamond"/>
          <w:i/>
          <w:sz w:val="24"/>
          <w:szCs w:val="24"/>
        </w:rPr>
      </w:pPr>
    </w:p>
    <w:p w:rsidR="00DA174F" w:rsidRDefault="00DA174F" w:rsidP="00631610">
      <w:pPr>
        <w:pStyle w:val="NoSpacing"/>
        <w:rPr>
          <w:rFonts w:ascii="Garamond" w:hAnsi="Garamond"/>
          <w:sz w:val="24"/>
          <w:szCs w:val="24"/>
        </w:rPr>
      </w:pPr>
      <w:r>
        <w:rPr>
          <w:rFonts w:ascii="Garamond" w:hAnsi="Garamond"/>
          <w:sz w:val="24"/>
          <w:szCs w:val="24"/>
        </w:rPr>
        <w:t xml:space="preserve">The goal of the steering committee is to help initiate, monitor, organize and </w:t>
      </w:r>
      <w:r w:rsidR="004F116E">
        <w:rPr>
          <w:rFonts w:ascii="Garamond" w:hAnsi="Garamond"/>
          <w:sz w:val="24"/>
          <w:szCs w:val="24"/>
        </w:rPr>
        <w:t xml:space="preserve">summarize </w:t>
      </w:r>
      <w:r w:rsidR="004F116E">
        <w:rPr>
          <w:rFonts w:ascii="Garamond" w:hAnsi="Garamond"/>
          <w:i/>
          <w:sz w:val="24"/>
          <w:szCs w:val="24"/>
        </w:rPr>
        <w:t xml:space="preserve">Invent the Future </w:t>
      </w:r>
      <w:r w:rsidR="004F116E">
        <w:rPr>
          <w:rFonts w:ascii="Garamond" w:hAnsi="Garamond"/>
          <w:sz w:val="24"/>
          <w:szCs w:val="24"/>
        </w:rPr>
        <w:t xml:space="preserve">initiative.  Specifically the Steering Committee will: </w:t>
      </w:r>
    </w:p>
    <w:p w:rsidR="004F116E" w:rsidRDefault="004F116E" w:rsidP="00631610">
      <w:pPr>
        <w:pStyle w:val="NoSpacing"/>
        <w:rPr>
          <w:rFonts w:ascii="Garamond" w:hAnsi="Garamond"/>
          <w:sz w:val="24"/>
          <w:szCs w:val="24"/>
        </w:rPr>
      </w:pPr>
    </w:p>
    <w:p w:rsidR="004F116E" w:rsidRDefault="004F116E" w:rsidP="004F116E">
      <w:pPr>
        <w:pStyle w:val="NoSpacing"/>
        <w:numPr>
          <w:ilvl w:val="0"/>
          <w:numId w:val="3"/>
        </w:numPr>
        <w:rPr>
          <w:rFonts w:ascii="Garamond" w:hAnsi="Garamond"/>
          <w:sz w:val="24"/>
          <w:szCs w:val="24"/>
        </w:rPr>
      </w:pPr>
      <w:r>
        <w:rPr>
          <w:rFonts w:ascii="Garamond" w:hAnsi="Garamond"/>
          <w:sz w:val="24"/>
          <w:szCs w:val="24"/>
        </w:rPr>
        <w:t xml:space="preserve">Populate the working group membership. </w:t>
      </w:r>
    </w:p>
    <w:p w:rsidR="004F116E" w:rsidRDefault="004F116E" w:rsidP="004F116E">
      <w:pPr>
        <w:pStyle w:val="NoSpacing"/>
        <w:numPr>
          <w:ilvl w:val="0"/>
          <w:numId w:val="3"/>
        </w:numPr>
        <w:rPr>
          <w:rFonts w:ascii="Garamond" w:hAnsi="Garamond"/>
          <w:sz w:val="24"/>
          <w:szCs w:val="24"/>
        </w:rPr>
      </w:pPr>
      <w:r>
        <w:rPr>
          <w:rFonts w:ascii="Garamond" w:hAnsi="Garamond"/>
          <w:sz w:val="24"/>
          <w:szCs w:val="24"/>
        </w:rPr>
        <w:t xml:space="preserve">Approve working group schedules. </w:t>
      </w:r>
    </w:p>
    <w:p w:rsidR="004F116E" w:rsidRDefault="004F116E" w:rsidP="004F116E">
      <w:pPr>
        <w:pStyle w:val="NoSpacing"/>
        <w:numPr>
          <w:ilvl w:val="0"/>
          <w:numId w:val="3"/>
        </w:numPr>
        <w:rPr>
          <w:rFonts w:ascii="Garamond" w:hAnsi="Garamond"/>
          <w:sz w:val="24"/>
          <w:szCs w:val="24"/>
        </w:rPr>
      </w:pPr>
      <w:r>
        <w:rPr>
          <w:rFonts w:ascii="Garamond" w:hAnsi="Garamond"/>
          <w:sz w:val="24"/>
          <w:szCs w:val="24"/>
        </w:rPr>
        <w:t xml:space="preserve">Hear updates and final reports from working groups. </w:t>
      </w:r>
    </w:p>
    <w:p w:rsidR="004F116E" w:rsidRDefault="004F116E" w:rsidP="004F116E">
      <w:pPr>
        <w:pStyle w:val="NoSpacing"/>
        <w:numPr>
          <w:ilvl w:val="0"/>
          <w:numId w:val="3"/>
        </w:numPr>
        <w:rPr>
          <w:rFonts w:ascii="Garamond" w:hAnsi="Garamond"/>
          <w:sz w:val="24"/>
          <w:szCs w:val="24"/>
        </w:rPr>
      </w:pPr>
      <w:r>
        <w:rPr>
          <w:rFonts w:ascii="Garamond" w:hAnsi="Garamond"/>
          <w:sz w:val="24"/>
          <w:szCs w:val="24"/>
        </w:rPr>
        <w:t xml:space="preserve">Summarize and draw conclusions from </w:t>
      </w:r>
      <w:r>
        <w:rPr>
          <w:rFonts w:ascii="Garamond" w:hAnsi="Garamond"/>
          <w:i/>
          <w:sz w:val="24"/>
          <w:szCs w:val="24"/>
        </w:rPr>
        <w:t xml:space="preserve">Invent the Future </w:t>
      </w:r>
      <w:r>
        <w:rPr>
          <w:rFonts w:ascii="Garamond" w:hAnsi="Garamond"/>
          <w:sz w:val="24"/>
          <w:szCs w:val="24"/>
        </w:rPr>
        <w:t xml:space="preserve">process.  </w:t>
      </w:r>
    </w:p>
    <w:p w:rsidR="00FF0319" w:rsidRDefault="00FF0319" w:rsidP="00FF0319">
      <w:pPr>
        <w:pStyle w:val="NoSpacing"/>
        <w:rPr>
          <w:rFonts w:ascii="Garamond" w:hAnsi="Garamond"/>
          <w:sz w:val="24"/>
          <w:szCs w:val="24"/>
        </w:rPr>
      </w:pPr>
    </w:p>
    <w:p w:rsidR="00FF0319" w:rsidRDefault="00FF0319" w:rsidP="00FF0319">
      <w:pPr>
        <w:pStyle w:val="NoSpacing"/>
        <w:rPr>
          <w:rFonts w:ascii="Garamond" w:hAnsi="Garamond"/>
          <w:sz w:val="24"/>
          <w:szCs w:val="24"/>
        </w:rPr>
      </w:pPr>
      <w:r>
        <w:rPr>
          <w:rFonts w:ascii="Garamond" w:hAnsi="Garamond"/>
          <w:sz w:val="24"/>
          <w:szCs w:val="24"/>
        </w:rPr>
        <w:t xml:space="preserve">The Steering Committee will also take on the issue of reevaluating our approach to </w:t>
      </w:r>
      <w:proofErr w:type="spellStart"/>
      <w:r>
        <w:rPr>
          <w:rFonts w:ascii="Garamond" w:hAnsi="Garamond"/>
          <w:sz w:val="24"/>
          <w:szCs w:val="24"/>
        </w:rPr>
        <w:t>interdiciplinarity</w:t>
      </w:r>
      <w:proofErr w:type="spellEnd"/>
      <w:r>
        <w:rPr>
          <w:rFonts w:ascii="Garamond" w:hAnsi="Garamond"/>
          <w:sz w:val="24"/>
          <w:szCs w:val="24"/>
        </w:rPr>
        <w:t xml:space="preserve"> and efficacy of the 360 degrees of learning branding program. </w:t>
      </w:r>
    </w:p>
    <w:p w:rsidR="00DA174F" w:rsidRPr="00DA174F" w:rsidRDefault="00DA174F" w:rsidP="00631610">
      <w:pPr>
        <w:pStyle w:val="NoSpacing"/>
        <w:rPr>
          <w:rFonts w:ascii="Garamond" w:hAnsi="Garamond"/>
          <w:i/>
          <w:sz w:val="24"/>
          <w:szCs w:val="24"/>
        </w:rPr>
      </w:pPr>
    </w:p>
    <w:p w:rsidR="00DA174F" w:rsidRPr="00DA174F" w:rsidRDefault="00DA174F" w:rsidP="00631610">
      <w:pPr>
        <w:pStyle w:val="NoSpacing"/>
        <w:rPr>
          <w:rFonts w:ascii="Garamond" w:hAnsi="Garamond"/>
          <w:sz w:val="24"/>
          <w:szCs w:val="24"/>
          <w:u w:val="single"/>
        </w:rPr>
      </w:pPr>
      <w:r w:rsidRPr="00DA174F">
        <w:rPr>
          <w:rFonts w:ascii="Garamond" w:hAnsi="Garamond"/>
          <w:i/>
          <w:sz w:val="24"/>
          <w:szCs w:val="24"/>
          <w:u w:val="single"/>
        </w:rPr>
        <w:t>Innovation &amp; Growth</w:t>
      </w:r>
      <w:r w:rsidRPr="00DA174F">
        <w:rPr>
          <w:rFonts w:ascii="Garamond" w:hAnsi="Garamond"/>
          <w:sz w:val="24"/>
          <w:szCs w:val="24"/>
          <w:u w:val="single"/>
        </w:rPr>
        <w:t xml:space="preserve"> </w:t>
      </w:r>
    </w:p>
    <w:p w:rsidR="00DA174F" w:rsidRDefault="00DA174F" w:rsidP="00631610">
      <w:pPr>
        <w:pStyle w:val="NoSpacing"/>
        <w:rPr>
          <w:rFonts w:ascii="Garamond" w:hAnsi="Garamond"/>
          <w:sz w:val="24"/>
          <w:szCs w:val="24"/>
        </w:rPr>
      </w:pPr>
    </w:p>
    <w:p w:rsidR="003A02A1" w:rsidRDefault="008C51AF" w:rsidP="00FF0319">
      <w:pPr>
        <w:pStyle w:val="NoSpacing"/>
        <w:rPr>
          <w:rFonts w:ascii="Garamond" w:hAnsi="Garamond"/>
          <w:sz w:val="24"/>
          <w:szCs w:val="24"/>
        </w:rPr>
      </w:pPr>
      <w:r>
        <w:rPr>
          <w:rFonts w:ascii="Garamond" w:hAnsi="Garamond"/>
          <w:sz w:val="24"/>
          <w:szCs w:val="24"/>
        </w:rPr>
        <w:t>In order for the university to prosper, it must position itself for inno</w:t>
      </w:r>
      <w:r w:rsidR="00FF0319">
        <w:rPr>
          <w:rFonts w:ascii="Garamond" w:hAnsi="Garamond"/>
          <w:sz w:val="24"/>
          <w:szCs w:val="24"/>
        </w:rPr>
        <w:t xml:space="preserve">vation, develop a philosophy of </w:t>
      </w:r>
      <w:r>
        <w:rPr>
          <w:rFonts w:ascii="Garamond" w:hAnsi="Garamond"/>
          <w:sz w:val="24"/>
          <w:szCs w:val="24"/>
        </w:rPr>
        <w:t>growth and create and deploy well-constructed and impactful strategies</w:t>
      </w:r>
      <w:r w:rsidR="00FF0319">
        <w:rPr>
          <w:rFonts w:ascii="Garamond" w:hAnsi="Garamond"/>
          <w:sz w:val="24"/>
          <w:szCs w:val="24"/>
        </w:rPr>
        <w:t xml:space="preserve"> for the integration of technology into learning, faculty research and operations.  Among the activities of this group are:</w:t>
      </w:r>
    </w:p>
    <w:p w:rsidR="00FF0319" w:rsidRPr="0024413B" w:rsidRDefault="00FF0319" w:rsidP="00FF0319">
      <w:pPr>
        <w:pStyle w:val="NoSpacing"/>
        <w:rPr>
          <w:rFonts w:ascii="Garamond" w:hAnsi="Garamond"/>
          <w:sz w:val="24"/>
          <w:szCs w:val="24"/>
        </w:rPr>
      </w:pPr>
    </w:p>
    <w:p w:rsidR="003A02A1" w:rsidRPr="0024413B" w:rsidRDefault="005B095E" w:rsidP="0024413B">
      <w:pPr>
        <w:pStyle w:val="NoSpacing"/>
        <w:numPr>
          <w:ilvl w:val="0"/>
          <w:numId w:val="4"/>
        </w:numPr>
        <w:rPr>
          <w:rFonts w:ascii="Garamond" w:hAnsi="Garamond"/>
          <w:sz w:val="24"/>
          <w:szCs w:val="24"/>
        </w:rPr>
      </w:pPr>
      <w:r>
        <w:rPr>
          <w:rFonts w:ascii="Garamond" w:hAnsi="Garamond"/>
          <w:sz w:val="24"/>
          <w:szCs w:val="24"/>
        </w:rPr>
        <w:t xml:space="preserve">Recommend a university growth philosophy and suggest process and targets for such growth. </w:t>
      </w:r>
    </w:p>
    <w:p w:rsidR="005B095E" w:rsidRDefault="005B095E" w:rsidP="005B095E">
      <w:pPr>
        <w:pStyle w:val="NoSpacing"/>
        <w:numPr>
          <w:ilvl w:val="0"/>
          <w:numId w:val="4"/>
        </w:numPr>
        <w:rPr>
          <w:rFonts w:ascii="Garamond" w:hAnsi="Garamond"/>
          <w:sz w:val="24"/>
          <w:szCs w:val="24"/>
        </w:rPr>
      </w:pPr>
      <w:r>
        <w:rPr>
          <w:rFonts w:ascii="Garamond" w:hAnsi="Garamond"/>
          <w:sz w:val="24"/>
          <w:szCs w:val="24"/>
        </w:rPr>
        <w:t xml:space="preserve">Provide the key elements for a university-wide eLearning strategy and suggest a process for achieving the strategy. </w:t>
      </w:r>
    </w:p>
    <w:p w:rsidR="0013144B" w:rsidRDefault="005B095E" w:rsidP="005B095E">
      <w:pPr>
        <w:pStyle w:val="NoSpacing"/>
        <w:numPr>
          <w:ilvl w:val="0"/>
          <w:numId w:val="4"/>
        </w:numPr>
        <w:rPr>
          <w:rFonts w:ascii="Garamond" w:hAnsi="Garamond"/>
          <w:sz w:val="24"/>
          <w:szCs w:val="24"/>
        </w:rPr>
      </w:pPr>
      <w:r>
        <w:rPr>
          <w:rFonts w:ascii="Garamond" w:hAnsi="Garamond"/>
          <w:sz w:val="24"/>
          <w:szCs w:val="24"/>
        </w:rPr>
        <w:t xml:space="preserve">Investigate university capacity for evidence-based decision making at all levels and suggest approach to increase this capacity. </w:t>
      </w:r>
      <w:r w:rsidR="002E67A9" w:rsidRPr="005B095E">
        <w:rPr>
          <w:rFonts w:ascii="Garamond" w:hAnsi="Garamond"/>
          <w:sz w:val="24"/>
          <w:szCs w:val="24"/>
        </w:rPr>
        <w:t xml:space="preserve"> </w:t>
      </w:r>
    </w:p>
    <w:p w:rsidR="003A02A1" w:rsidRPr="005B095E" w:rsidRDefault="0013144B" w:rsidP="005B095E">
      <w:pPr>
        <w:pStyle w:val="NoSpacing"/>
        <w:numPr>
          <w:ilvl w:val="0"/>
          <w:numId w:val="4"/>
        </w:numPr>
        <w:rPr>
          <w:rFonts w:ascii="Garamond" w:hAnsi="Garamond"/>
          <w:sz w:val="24"/>
          <w:szCs w:val="24"/>
        </w:rPr>
      </w:pPr>
      <w:r>
        <w:rPr>
          <w:rFonts w:ascii="Garamond" w:hAnsi="Garamond"/>
          <w:sz w:val="24"/>
          <w:szCs w:val="24"/>
        </w:rPr>
        <w:t xml:space="preserve">Suggest approaches for the university to take advantage of growing opportunities and markets in areas such as health care, smart manufacturing, resource recovery and data analytics. </w:t>
      </w:r>
      <w:r w:rsidR="002E67A9" w:rsidRPr="005B095E">
        <w:rPr>
          <w:rFonts w:ascii="Garamond" w:hAnsi="Garamond"/>
          <w:sz w:val="24"/>
          <w:szCs w:val="24"/>
        </w:rPr>
        <w:t xml:space="preserve">  </w:t>
      </w:r>
    </w:p>
    <w:p w:rsidR="004F116E" w:rsidRDefault="004F116E" w:rsidP="00631610">
      <w:pPr>
        <w:pStyle w:val="NoSpacing"/>
        <w:rPr>
          <w:rFonts w:ascii="Garamond" w:hAnsi="Garamond"/>
          <w:sz w:val="24"/>
          <w:szCs w:val="24"/>
        </w:rPr>
      </w:pPr>
    </w:p>
    <w:p w:rsidR="00DA174F" w:rsidRPr="00DA174F" w:rsidRDefault="00DA174F" w:rsidP="00631610">
      <w:pPr>
        <w:pStyle w:val="NoSpacing"/>
        <w:rPr>
          <w:rFonts w:ascii="Garamond" w:hAnsi="Garamond"/>
          <w:sz w:val="24"/>
          <w:szCs w:val="24"/>
          <w:u w:val="single"/>
        </w:rPr>
      </w:pPr>
      <w:r w:rsidRPr="00DA174F">
        <w:rPr>
          <w:rFonts w:ascii="Garamond" w:hAnsi="Garamond"/>
          <w:i/>
          <w:sz w:val="24"/>
          <w:szCs w:val="24"/>
          <w:u w:val="single"/>
        </w:rPr>
        <w:t>Enrollment</w:t>
      </w:r>
      <w:r w:rsidRPr="00DA174F">
        <w:rPr>
          <w:rFonts w:ascii="Garamond" w:hAnsi="Garamond"/>
          <w:sz w:val="24"/>
          <w:szCs w:val="24"/>
          <w:u w:val="single"/>
        </w:rPr>
        <w:t xml:space="preserve"> </w:t>
      </w:r>
    </w:p>
    <w:p w:rsidR="00DA174F" w:rsidRDefault="00DA174F" w:rsidP="00631610">
      <w:pPr>
        <w:pStyle w:val="NoSpacing"/>
        <w:rPr>
          <w:rFonts w:ascii="Garamond" w:hAnsi="Garamond"/>
          <w:sz w:val="24"/>
          <w:szCs w:val="24"/>
        </w:rPr>
      </w:pPr>
    </w:p>
    <w:p w:rsidR="005B095E" w:rsidRDefault="005B095E" w:rsidP="00631610">
      <w:pPr>
        <w:pStyle w:val="NoSpacing"/>
        <w:rPr>
          <w:rFonts w:ascii="Garamond" w:hAnsi="Garamond"/>
          <w:sz w:val="24"/>
          <w:szCs w:val="24"/>
        </w:rPr>
      </w:pPr>
      <w:r>
        <w:rPr>
          <w:rFonts w:ascii="Garamond" w:hAnsi="Garamond"/>
          <w:sz w:val="24"/>
          <w:szCs w:val="24"/>
        </w:rPr>
        <w:t xml:space="preserve">The University faces both proximate and long-term challenges in enrollment.  The goal of this group is to carefully examine the assumptions and processes of our current enrollment strategy and recommend an enrollment approach that meets current and future challenges. </w:t>
      </w:r>
    </w:p>
    <w:p w:rsidR="005B095E" w:rsidRDefault="005B095E" w:rsidP="00631610">
      <w:pPr>
        <w:pStyle w:val="NoSpacing"/>
        <w:rPr>
          <w:rFonts w:ascii="Garamond" w:hAnsi="Garamond"/>
          <w:sz w:val="24"/>
          <w:szCs w:val="24"/>
        </w:rPr>
      </w:pPr>
    </w:p>
    <w:p w:rsidR="003A02A1" w:rsidRPr="00FF0319" w:rsidRDefault="005B095E" w:rsidP="00FF0319">
      <w:pPr>
        <w:pStyle w:val="NoSpacing"/>
        <w:numPr>
          <w:ilvl w:val="0"/>
          <w:numId w:val="5"/>
        </w:numPr>
        <w:rPr>
          <w:rFonts w:ascii="Garamond" w:hAnsi="Garamond"/>
          <w:sz w:val="24"/>
          <w:szCs w:val="24"/>
        </w:rPr>
      </w:pPr>
      <w:r>
        <w:rPr>
          <w:rFonts w:ascii="Garamond" w:hAnsi="Garamond"/>
          <w:sz w:val="24"/>
          <w:szCs w:val="24"/>
        </w:rPr>
        <w:t>Critique the current enrollment strategy.</w:t>
      </w:r>
    </w:p>
    <w:p w:rsidR="003A02A1" w:rsidRPr="00FF0319" w:rsidRDefault="005B095E" w:rsidP="00FF0319">
      <w:pPr>
        <w:pStyle w:val="NoSpacing"/>
        <w:numPr>
          <w:ilvl w:val="0"/>
          <w:numId w:val="5"/>
        </w:numPr>
        <w:rPr>
          <w:rFonts w:ascii="Garamond" w:hAnsi="Garamond"/>
          <w:sz w:val="24"/>
          <w:szCs w:val="24"/>
        </w:rPr>
      </w:pPr>
      <w:r>
        <w:rPr>
          <w:rFonts w:ascii="Garamond" w:hAnsi="Garamond"/>
          <w:sz w:val="24"/>
          <w:szCs w:val="24"/>
        </w:rPr>
        <w:t>Suggest ways in which to develop</w:t>
      </w:r>
      <w:r w:rsidR="002E67A9" w:rsidRPr="00FF0319">
        <w:rPr>
          <w:rFonts w:ascii="Garamond" w:hAnsi="Garamond"/>
          <w:sz w:val="24"/>
          <w:szCs w:val="24"/>
        </w:rPr>
        <w:t xml:space="preserve"> a culture of institutional responsibility for enrollment. </w:t>
      </w:r>
    </w:p>
    <w:p w:rsidR="005B095E" w:rsidRDefault="005B095E" w:rsidP="00FF0319">
      <w:pPr>
        <w:pStyle w:val="NoSpacing"/>
        <w:numPr>
          <w:ilvl w:val="0"/>
          <w:numId w:val="5"/>
        </w:numPr>
        <w:rPr>
          <w:rFonts w:ascii="Garamond" w:hAnsi="Garamond"/>
          <w:sz w:val="24"/>
          <w:szCs w:val="24"/>
        </w:rPr>
      </w:pPr>
      <w:r>
        <w:rPr>
          <w:rFonts w:ascii="Garamond" w:hAnsi="Garamond"/>
          <w:sz w:val="24"/>
          <w:szCs w:val="24"/>
        </w:rPr>
        <w:t xml:space="preserve">Suggest investments that will place the university in a competitive advantage in enrollment. </w:t>
      </w:r>
    </w:p>
    <w:p w:rsidR="005B095E" w:rsidRDefault="005B095E" w:rsidP="005B095E">
      <w:pPr>
        <w:pStyle w:val="NoSpacing"/>
        <w:rPr>
          <w:rFonts w:ascii="Garamond" w:hAnsi="Garamond"/>
          <w:sz w:val="24"/>
          <w:szCs w:val="24"/>
        </w:rPr>
      </w:pPr>
    </w:p>
    <w:p w:rsidR="003A02A1" w:rsidRPr="00FF0319" w:rsidRDefault="005B095E" w:rsidP="005B095E">
      <w:pPr>
        <w:pStyle w:val="NoSpacing"/>
        <w:rPr>
          <w:rFonts w:ascii="Garamond" w:hAnsi="Garamond"/>
          <w:sz w:val="24"/>
          <w:szCs w:val="24"/>
        </w:rPr>
      </w:pPr>
      <w:r>
        <w:rPr>
          <w:rFonts w:ascii="Garamond" w:hAnsi="Garamond"/>
          <w:sz w:val="24"/>
          <w:szCs w:val="24"/>
        </w:rPr>
        <w:t xml:space="preserve">It is important this group be composed of members of the university community not involved in the current enrollment approach.  </w:t>
      </w:r>
      <w:r w:rsidR="002E67A9" w:rsidRPr="00FF0319">
        <w:rPr>
          <w:rFonts w:ascii="Garamond" w:hAnsi="Garamond"/>
          <w:sz w:val="24"/>
          <w:szCs w:val="24"/>
        </w:rPr>
        <w:t xml:space="preserve"> </w:t>
      </w:r>
    </w:p>
    <w:p w:rsidR="0024413B" w:rsidRDefault="0024413B" w:rsidP="00631610">
      <w:pPr>
        <w:pStyle w:val="NoSpacing"/>
        <w:rPr>
          <w:rFonts w:ascii="Garamond" w:hAnsi="Garamond"/>
          <w:sz w:val="24"/>
          <w:szCs w:val="24"/>
        </w:rPr>
      </w:pPr>
    </w:p>
    <w:p w:rsidR="00DA174F" w:rsidRPr="00DA174F" w:rsidRDefault="00DA174F" w:rsidP="00631610">
      <w:pPr>
        <w:pStyle w:val="NoSpacing"/>
        <w:rPr>
          <w:rFonts w:ascii="Garamond" w:hAnsi="Garamond"/>
          <w:i/>
          <w:sz w:val="24"/>
          <w:szCs w:val="24"/>
          <w:u w:val="single"/>
        </w:rPr>
      </w:pPr>
      <w:r w:rsidRPr="00DA174F">
        <w:rPr>
          <w:rFonts w:ascii="Garamond" w:hAnsi="Garamond"/>
          <w:i/>
          <w:sz w:val="24"/>
          <w:szCs w:val="24"/>
          <w:u w:val="single"/>
        </w:rPr>
        <w:t>Academic Portfolio</w:t>
      </w:r>
    </w:p>
    <w:p w:rsidR="005B095E" w:rsidRDefault="005B095E" w:rsidP="005B095E">
      <w:pPr>
        <w:pStyle w:val="NoSpacing"/>
        <w:rPr>
          <w:rFonts w:ascii="Garamond" w:hAnsi="Garamond"/>
          <w:i/>
          <w:sz w:val="24"/>
          <w:szCs w:val="24"/>
        </w:rPr>
      </w:pPr>
    </w:p>
    <w:p w:rsidR="005B095E" w:rsidRDefault="005B095E" w:rsidP="005B095E">
      <w:pPr>
        <w:pStyle w:val="NoSpacing"/>
        <w:rPr>
          <w:rFonts w:ascii="Garamond" w:hAnsi="Garamond"/>
          <w:sz w:val="24"/>
          <w:szCs w:val="24"/>
        </w:rPr>
      </w:pPr>
      <w:r>
        <w:rPr>
          <w:rFonts w:ascii="Garamond" w:hAnsi="Garamond"/>
          <w:sz w:val="24"/>
          <w:szCs w:val="24"/>
        </w:rPr>
        <w:t>The proposition that the University’s interdisciplinary approach</w:t>
      </w:r>
      <w:r w:rsidR="0013144B">
        <w:rPr>
          <w:rFonts w:ascii="Garamond" w:hAnsi="Garamond"/>
          <w:sz w:val="24"/>
          <w:szCs w:val="24"/>
        </w:rPr>
        <w:t xml:space="preserve"> and academic portfolio is consistent</w:t>
      </w:r>
      <w:r>
        <w:rPr>
          <w:rFonts w:ascii="Garamond" w:hAnsi="Garamond"/>
          <w:sz w:val="24"/>
          <w:szCs w:val="24"/>
        </w:rPr>
        <w:t xml:space="preserve"> with </w:t>
      </w:r>
      <w:r w:rsidR="0013144B">
        <w:rPr>
          <w:rFonts w:ascii="Garamond" w:hAnsi="Garamond"/>
          <w:sz w:val="24"/>
          <w:szCs w:val="24"/>
        </w:rPr>
        <w:t xml:space="preserve">contemporary demands of career and the modern imperative of public higher education to directly support talent creation and economic development must be carefully considered and affirmed or adjusted.  This is the goal of this working group. Specific activities may include:  </w:t>
      </w:r>
    </w:p>
    <w:p w:rsidR="005B095E" w:rsidRPr="005B095E" w:rsidRDefault="005B095E" w:rsidP="005B095E">
      <w:pPr>
        <w:pStyle w:val="NoSpacing"/>
        <w:rPr>
          <w:rFonts w:ascii="Garamond" w:hAnsi="Garamond"/>
          <w:sz w:val="24"/>
          <w:szCs w:val="24"/>
        </w:rPr>
      </w:pPr>
    </w:p>
    <w:p w:rsidR="003A02A1" w:rsidRPr="0013144B" w:rsidRDefault="002E67A9" w:rsidP="0013144B">
      <w:pPr>
        <w:pStyle w:val="NoSpacing"/>
        <w:numPr>
          <w:ilvl w:val="0"/>
          <w:numId w:val="6"/>
        </w:numPr>
        <w:rPr>
          <w:rFonts w:ascii="Garamond" w:hAnsi="Garamond"/>
          <w:sz w:val="24"/>
          <w:szCs w:val="24"/>
        </w:rPr>
      </w:pPr>
      <w:r w:rsidRPr="00FF0319">
        <w:rPr>
          <w:rFonts w:ascii="Garamond" w:hAnsi="Garamond"/>
          <w:sz w:val="24"/>
          <w:szCs w:val="24"/>
        </w:rPr>
        <w:t>Review academic program portfolio.</w:t>
      </w:r>
    </w:p>
    <w:p w:rsidR="003A02A1" w:rsidRPr="0013144B" w:rsidRDefault="0013144B" w:rsidP="0013144B">
      <w:pPr>
        <w:pStyle w:val="NoSpacing"/>
        <w:numPr>
          <w:ilvl w:val="0"/>
          <w:numId w:val="6"/>
        </w:numPr>
        <w:rPr>
          <w:rFonts w:ascii="Garamond" w:hAnsi="Garamond"/>
          <w:sz w:val="24"/>
          <w:szCs w:val="24"/>
        </w:rPr>
      </w:pPr>
      <w:r>
        <w:rPr>
          <w:rFonts w:ascii="Garamond" w:hAnsi="Garamond"/>
          <w:sz w:val="24"/>
          <w:szCs w:val="24"/>
        </w:rPr>
        <w:t>Suggest ways to d</w:t>
      </w:r>
      <w:r w:rsidR="002E67A9" w:rsidRPr="00FF0319">
        <w:rPr>
          <w:rFonts w:ascii="Garamond" w:hAnsi="Garamond"/>
          <w:sz w:val="24"/>
          <w:szCs w:val="24"/>
        </w:rPr>
        <w:t>irectly li</w:t>
      </w:r>
      <w:r>
        <w:rPr>
          <w:rFonts w:ascii="Garamond" w:hAnsi="Garamond"/>
          <w:sz w:val="24"/>
          <w:szCs w:val="24"/>
        </w:rPr>
        <w:t xml:space="preserve">nk </w:t>
      </w:r>
      <w:proofErr w:type="spellStart"/>
      <w:r>
        <w:rPr>
          <w:rFonts w:ascii="Garamond" w:hAnsi="Garamond"/>
          <w:sz w:val="24"/>
          <w:szCs w:val="24"/>
        </w:rPr>
        <w:t>interdisciplinarity</w:t>
      </w:r>
      <w:proofErr w:type="spellEnd"/>
      <w:r>
        <w:rPr>
          <w:rFonts w:ascii="Garamond" w:hAnsi="Garamond"/>
          <w:sz w:val="24"/>
          <w:szCs w:val="24"/>
        </w:rPr>
        <w:t xml:space="preserve"> with career success</w:t>
      </w:r>
      <w:r w:rsidR="002E67A9" w:rsidRPr="00FF0319">
        <w:rPr>
          <w:rFonts w:ascii="Garamond" w:hAnsi="Garamond"/>
          <w:sz w:val="24"/>
          <w:szCs w:val="24"/>
        </w:rPr>
        <w:t>.</w:t>
      </w:r>
    </w:p>
    <w:p w:rsidR="003A02A1" w:rsidRPr="0013144B" w:rsidRDefault="0013144B" w:rsidP="0013144B">
      <w:pPr>
        <w:pStyle w:val="NoSpacing"/>
        <w:numPr>
          <w:ilvl w:val="0"/>
          <w:numId w:val="6"/>
        </w:numPr>
        <w:rPr>
          <w:rFonts w:ascii="Garamond" w:hAnsi="Garamond"/>
          <w:sz w:val="24"/>
          <w:szCs w:val="24"/>
        </w:rPr>
      </w:pPr>
      <w:r>
        <w:rPr>
          <w:rFonts w:ascii="Garamond" w:hAnsi="Garamond"/>
          <w:sz w:val="24"/>
          <w:szCs w:val="24"/>
        </w:rPr>
        <w:t xml:space="preserve">Suggest how program efficacy can be included in the program review process. </w:t>
      </w:r>
      <w:r w:rsidR="002E67A9" w:rsidRPr="00FF0319">
        <w:rPr>
          <w:rFonts w:ascii="Garamond" w:hAnsi="Garamond"/>
          <w:sz w:val="24"/>
          <w:szCs w:val="24"/>
        </w:rPr>
        <w:t xml:space="preserve"> </w:t>
      </w:r>
      <w:r w:rsidR="002E67A9" w:rsidRPr="0013144B">
        <w:rPr>
          <w:rFonts w:ascii="Garamond" w:hAnsi="Garamond"/>
          <w:sz w:val="24"/>
          <w:szCs w:val="24"/>
        </w:rPr>
        <w:t xml:space="preserve"> </w:t>
      </w:r>
    </w:p>
    <w:p w:rsidR="00FF0319" w:rsidRPr="0013144B" w:rsidRDefault="0013144B" w:rsidP="00631610">
      <w:pPr>
        <w:pStyle w:val="NoSpacing"/>
        <w:numPr>
          <w:ilvl w:val="0"/>
          <w:numId w:val="6"/>
        </w:numPr>
        <w:rPr>
          <w:rFonts w:ascii="Garamond" w:hAnsi="Garamond"/>
          <w:sz w:val="24"/>
          <w:szCs w:val="24"/>
        </w:rPr>
      </w:pPr>
      <w:r>
        <w:rPr>
          <w:rFonts w:ascii="Garamond" w:hAnsi="Garamond"/>
          <w:sz w:val="24"/>
          <w:szCs w:val="24"/>
        </w:rPr>
        <w:t xml:space="preserve">Suggest strategies for expanding graduate programs. </w:t>
      </w:r>
      <w:r w:rsidR="002E67A9" w:rsidRPr="00FF0319">
        <w:rPr>
          <w:rFonts w:ascii="Garamond" w:hAnsi="Garamond"/>
          <w:sz w:val="24"/>
          <w:szCs w:val="24"/>
        </w:rPr>
        <w:t xml:space="preserve"> </w:t>
      </w:r>
    </w:p>
    <w:p w:rsidR="00FF0319" w:rsidRDefault="00FF0319" w:rsidP="00631610">
      <w:pPr>
        <w:pStyle w:val="NoSpacing"/>
        <w:rPr>
          <w:rFonts w:ascii="Garamond" w:hAnsi="Garamond"/>
          <w:i/>
          <w:sz w:val="24"/>
          <w:szCs w:val="24"/>
        </w:rPr>
      </w:pPr>
    </w:p>
    <w:p w:rsidR="00DA174F" w:rsidRPr="00DA174F" w:rsidRDefault="00DA174F" w:rsidP="00631610">
      <w:pPr>
        <w:pStyle w:val="NoSpacing"/>
        <w:rPr>
          <w:rFonts w:ascii="Garamond" w:hAnsi="Garamond"/>
          <w:i/>
          <w:sz w:val="24"/>
          <w:szCs w:val="24"/>
          <w:u w:val="single"/>
        </w:rPr>
      </w:pPr>
      <w:r w:rsidRPr="00DA174F">
        <w:rPr>
          <w:rFonts w:ascii="Garamond" w:hAnsi="Garamond"/>
          <w:i/>
          <w:sz w:val="24"/>
          <w:szCs w:val="24"/>
          <w:u w:val="single"/>
        </w:rPr>
        <w:t>Partnerships and External Affairs</w:t>
      </w:r>
    </w:p>
    <w:p w:rsidR="00DA174F" w:rsidRDefault="00DA174F" w:rsidP="00631610">
      <w:pPr>
        <w:pStyle w:val="NoSpacing"/>
        <w:rPr>
          <w:rFonts w:ascii="Garamond" w:hAnsi="Garamond"/>
          <w:sz w:val="24"/>
          <w:szCs w:val="24"/>
        </w:rPr>
      </w:pPr>
    </w:p>
    <w:p w:rsidR="00FC341F" w:rsidRDefault="00FC341F" w:rsidP="00631610">
      <w:pPr>
        <w:pStyle w:val="NoSpacing"/>
        <w:rPr>
          <w:rFonts w:ascii="Garamond" w:hAnsi="Garamond"/>
          <w:sz w:val="24"/>
          <w:szCs w:val="24"/>
        </w:rPr>
      </w:pPr>
      <w:r>
        <w:rPr>
          <w:rFonts w:ascii="Garamond" w:hAnsi="Garamond"/>
          <w:sz w:val="24"/>
          <w:szCs w:val="24"/>
        </w:rPr>
        <w:t xml:space="preserve">The University currently supports a large number of community outreach programs.  These programs have created a strong base of support in the community.  However, there is a growing expectation in the community that the university will take a leadership role in creating partnerships </w:t>
      </w:r>
      <w:r>
        <w:rPr>
          <w:rFonts w:ascii="Garamond" w:hAnsi="Garamond"/>
          <w:sz w:val="24"/>
          <w:szCs w:val="24"/>
        </w:rPr>
        <w:lastRenderedPageBreak/>
        <w:t xml:space="preserve">directly related to regional economic growth and prosperity.  The Engineering Technology program is a good example of such expectations.  Others are emerging in the areas of entrepreneurship and health care.  Meeting this expectation will give the university important new opportunities for faculty and students and expand the level of advocacy for the university </w:t>
      </w:r>
      <w:r w:rsidR="00F20277">
        <w:rPr>
          <w:rFonts w:ascii="Garamond" w:hAnsi="Garamond"/>
          <w:sz w:val="24"/>
          <w:szCs w:val="24"/>
        </w:rPr>
        <w:t>in Wisconsin.  An important</w:t>
      </w:r>
      <w:r>
        <w:rPr>
          <w:rFonts w:ascii="Garamond" w:hAnsi="Garamond"/>
          <w:sz w:val="24"/>
          <w:szCs w:val="24"/>
        </w:rPr>
        <w:t xml:space="preserve"> goal of this working group is to examine our capacity to meet this leadership opportunity.  </w:t>
      </w:r>
    </w:p>
    <w:p w:rsidR="00FC341F" w:rsidRDefault="00FC341F" w:rsidP="00631610">
      <w:pPr>
        <w:pStyle w:val="NoSpacing"/>
        <w:rPr>
          <w:rFonts w:ascii="Garamond" w:hAnsi="Garamond"/>
          <w:sz w:val="24"/>
          <w:szCs w:val="24"/>
        </w:rPr>
      </w:pPr>
    </w:p>
    <w:p w:rsidR="00FC341F" w:rsidRDefault="00FC341F" w:rsidP="00631610">
      <w:pPr>
        <w:pStyle w:val="NoSpacing"/>
        <w:rPr>
          <w:rFonts w:ascii="Garamond" w:hAnsi="Garamond"/>
          <w:sz w:val="24"/>
          <w:szCs w:val="24"/>
        </w:rPr>
      </w:pPr>
      <w:r>
        <w:rPr>
          <w:rFonts w:ascii="Garamond" w:hAnsi="Garamond"/>
          <w:sz w:val="24"/>
          <w:szCs w:val="24"/>
        </w:rPr>
        <w:t xml:space="preserve">In addition to the </w:t>
      </w:r>
      <w:r w:rsidR="00F20277">
        <w:rPr>
          <w:rFonts w:ascii="Garamond" w:hAnsi="Garamond"/>
          <w:sz w:val="24"/>
          <w:szCs w:val="24"/>
        </w:rPr>
        <w:t xml:space="preserve">opportunity for community leadership, the university must present a clear and passionate message about itself in the community.  This includes all aspects of our external presentation including the web page, social media as well as traditional marketing approaches. Another goal of this group is to examine our current marketing and external communications strategies.    </w:t>
      </w:r>
    </w:p>
    <w:p w:rsidR="00FC341F" w:rsidRDefault="00FC341F" w:rsidP="00631610">
      <w:pPr>
        <w:pStyle w:val="NoSpacing"/>
        <w:rPr>
          <w:rFonts w:ascii="Garamond" w:hAnsi="Garamond"/>
          <w:sz w:val="24"/>
          <w:szCs w:val="24"/>
        </w:rPr>
      </w:pPr>
    </w:p>
    <w:p w:rsidR="00DA174F" w:rsidRDefault="00FC341F" w:rsidP="00631610">
      <w:pPr>
        <w:pStyle w:val="NoSpacing"/>
        <w:rPr>
          <w:rFonts w:ascii="Garamond" w:hAnsi="Garamond"/>
          <w:sz w:val="24"/>
          <w:szCs w:val="24"/>
        </w:rPr>
      </w:pPr>
      <w:r>
        <w:rPr>
          <w:rFonts w:ascii="Garamond" w:hAnsi="Garamond"/>
          <w:sz w:val="24"/>
          <w:szCs w:val="24"/>
        </w:rPr>
        <w:t xml:space="preserve">Among the possible activities of this group are: </w:t>
      </w:r>
    </w:p>
    <w:p w:rsidR="00FC341F" w:rsidRDefault="00FC341F" w:rsidP="00631610">
      <w:pPr>
        <w:pStyle w:val="NoSpacing"/>
        <w:rPr>
          <w:rFonts w:ascii="Garamond" w:hAnsi="Garamond"/>
          <w:sz w:val="24"/>
          <w:szCs w:val="24"/>
        </w:rPr>
      </w:pPr>
    </w:p>
    <w:p w:rsidR="003A02A1" w:rsidRDefault="00FC341F" w:rsidP="00F20277">
      <w:pPr>
        <w:pStyle w:val="NoSpacing"/>
        <w:numPr>
          <w:ilvl w:val="0"/>
          <w:numId w:val="10"/>
        </w:numPr>
        <w:rPr>
          <w:rFonts w:ascii="Garamond" w:hAnsi="Garamond"/>
          <w:sz w:val="24"/>
          <w:szCs w:val="24"/>
        </w:rPr>
      </w:pPr>
      <w:r>
        <w:rPr>
          <w:rFonts w:ascii="Garamond" w:hAnsi="Garamond"/>
          <w:sz w:val="24"/>
          <w:szCs w:val="24"/>
        </w:rPr>
        <w:t>Suggest how the university might better organ</w:t>
      </w:r>
      <w:r w:rsidR="00F20277">
        <w:rPr>
          <w:rFonts w:ascii="Garamond" w:hAnsi="Garamond"/>
          <w:sz w:val="24"/>
          <w:szCs w:val="24"/>
        </w:rPr>
        <w:t xml:space="preserve">ize for external partnerships. </w:t>
      </w:r>
    </w:p>
    <w:p w:rsidR="00F20277" w:rsidRDefault="00F20277" w:rsidP="00FC341F">
      <w:pPr>
        <w:pStyle w:val="NoSpacing"/>
        <w:numPr>
          <w:ilvl w:val="0"/>
          <w:numId w:val="9"/>
        </w:numPr>
        <w:rPr>
          <w:rFonts w:ascii="Garamond" w:hAnsi="Garamond"/>
          <w:sz w:val="24"/>
          <w:szCs w:val="24"/>
        </w:rPr>
      </w:pPr>
      <w:r>
        <w:rPr>
          <w:rFonts w:ascii="Garamond" w:hAnsi="Garamond"/>
          <w:sz w:val="24"/>
          <w:szCs w:val="24"/>
        </w:rPr>
        <w:t xml:space="preserve">Analyze and make recommendations regarding the University marketing and communications strategy. </w:t>
      </w:r>
    </w:p>
    <w:p w:rsidR="00DA174F" w:rsidRPr="00F20277" w:rsidRDefault="00F20277" w:rsidP="00631610">
      <w:pPr>
        <w:pStyle w:val="NoSpacing"/>
        <w:numPr>
          <w:ilvl w:val="0"/>
          <w:numId w:val="9"/>
        </w:numPr>
        <w:rPr>
          <w:rFonts w:ascii="Garamond" w:hAnsi="Garamond"/>
          <w:sz w:val="24"/>
          <w:szCs w:val="24"/>
        </w:rPr>
      </w:pPr>
      <w:r>
        <w:rPr>
          <w:rFonts w:ascii="Garamond" w:hAnsi="Garamond"/>
          <w:sz w:val="24"/>
          <w:szCs w:val="24"/>
        </w:rPr>
        <w:t>Analyze and make recommendations regarding the university web page.</w:t>
      </w:r>
    </w:p>
    <w:p w:rsidR="00DA174F" w:rsidRDefault="00DA174F" w:rsidP="00631610">
      <w:pPr>
        <w:pStyle w:val="NoSpacing"/>
        <w:rPr>
          <w:rFonts w:ascii="Garamond" w:hAnsi="Garamond"/>
          <w:b/>
          <w:sz w:val="24"/>
          <w:szCs w:val="24"/>
        </w:rPr>
      </w:pPr>
    </w:p>
    <w:p w:rsidR="00DA174F" w:rsidRDefault="00DA174F" w:rsidP="00631610">
      <w:pPr>
        <w:pStyle w:val="NoSpacing"/>
        <w:rPr>
          <w:rFonts w:ascii="Garamond" w:hAnsi="Garamond"/>
          <w:b/>
          <w:sz w:val="24"/>
          <w:szCs w:val="24"/>
        </w:rPr>
      </w:pPr>
    </w:p>
    <w:p w:rsidR="001436E5" w:rsidRPr="001436E5" w:rsidRDefault="001436E5" w:rsidP="001436E5">
      <w:pPr>
        <w:pStyle w:val="NoSpacing"/>
        <w:rPr>
          <w:rFonts w:ascii="Garamond" w:hAnsi="Garamond"/>
          <w:b/>
          <w:sz w:val="24"/>
          <w:szCs w:val="24"/>
        </w:rPr>
      </w:pPr>
      <w:r w:rsidRPr="001436E5">
        <w:rPr>
          <w:rFonts w:ascii="Garamond" w:hAnsi="Garamond"/>
          <w:b/>
          <w:sz w:val="24"/>
          <w:szCs w:val="24"/>
        </w:rPr>
        <w:t xml:space="preserve">Schedule and Milestones  </w:t>
      </w:r>
    </w:p>
    <w:p w:rsidR="00556E5B" w:rsidRDefault="00556E5B" w:rsidP="00631610">
      <w:pPr>
        <w:pStyle w:val="NoSpacing"/>
        <w:rPr>
          <w:rFonts w:ascii="Garamond" w:hAnsi="Garamond"/>
          <w:sz w:val="24"/>
          <w:szCs w:val="24"/>
        </w:rPr>
      </w:pPr>
    </w:p>
    <w:p w:rsidR="00556E5B" w:rsidRPr="00556E5B" w:rsidRDefault="00556E5B" w:rsidP="00631610">
      <w:pPr>
        <w:pStyle w:val="NoSpacing"/>
        <w:rPr>
          <w:rFonts w:ascii="Garamond" w:hAnsi="Garamond"/>
          <w:sz w:val="24"/>
          <w:szCs w:val="24"/>
        </w:rPr>
      </w:pPr>
      <w:r>
        <w:rPr>
          <w:rFonts w:ascii="Garamond" w:hAnsi="Garamond"/>
          <w:sz w:val="24"/>
          <w:szCs w:val="24"/>
        </w:rPr>
        <w:t xml:space="preserve">The </w:t>
      </w:r>
      <w:r>
        <w:rPr>
          <w:rFonts w:ascii="Garamond" w:hAnsi="Garamond"/>
          <w:i/>
          <w:sz w:val="24"/>
          <w:szCs w:val="24"/>
        </w:rPr>
        <w:t>Invent the Future</w:t>
      </w:r>
      <w:r>
        <w:rPr>
          <w:rFonts w:ascii="Garamond" w:hAnsi="Garamond"/>
          <w:sz w:val="24"/>
          <w:szCs w:val="24"/>
        </w:rPr>
        <w:t xml:space="preserve"> initiative will begin October 1 and conclude at the end of the Spring 2015 semester.  The vision narrative for the coming decade will emerg</w:t>
      </w:r>
      <w:r w:rsidR="0088489F">
        <w:rPr>
          <w:rFonts w:ascii="Garamond" w:hAnsi="Garamond"/>
          <w:sz w:val="24"/>
          <w:szCs w:val="24"/>
        </w:rPr>
        <w:t xml:space="preserve">e from the exercise with the first elements to be part of the Chancellor’s installation remarks in November 2014.  Following is the proposed schedule.  </w:t>
      </w:r>
    </w:p>
    <w:p w:rsidR="00556E5B" w:rsidRDefault="00556E5B" w:rsidP="00631610">
      <w:pPr>
        <w:pStyle w:val="NoSpacing"/>
        <w:rPr>
          <w:rFonts w:ascii="Garamond" w:hAnsi="Garamond"/>
          <w:sz w:val="24"/>
          <w:szCs w:val="24"/>
        </w:rPr>
      </w:pPr>
    </w:p>
    <w:tbl>
      <w:tblPr>
        <w:tblStyle w:val="TableGrid"/>
        <w:tblW w:w="0" w:type="auto"/>
        <w:tblLook w:val="04A0" w:firstRow="1" w:lastRow="0" w:firstColumn="1" w:lastColumn="0" w:noHBand="0" w:noVBand="1"/>
      </w:tblPr>
      <w:tblGrid>
        <w:gridCol w:w="6295"/>
        <w:gridCol w:w="3055"/>
      </w:tblGrid>
      <w:tr w:rsidR="00556E5B" w:rsidTr="00556E5B">
        <w:tc>
          <w:tcPr>
            <w:tcW w:w="6295" w:type="dxa"/>
          </w:tcPr>
          <w:p w:rsidR="00556E5B" w:rsidRPr="00556E5B" w:rsidRDefault="00556E5B" w:rsidP="00556E5B">
            <w:pPr>
              <w:pStyle w:val="NoSpacing"/>
              <w:jc w:val="center"/>
              <w:rPr>
                <w:rFonts w:ascii="Garamond" w:hAnsi="Garamond"/>
                <w:b/>
                <w:sz w:val="24"/>
                <w:szCs w:val="24"/>
              </w:rPr>
            </w:pPr>
            <w:r w:rsidRPr="00556E5B">
              <w:rPr>
                <w:rFonts w:ascii="Garamond" w:hAnsi="Garamond"/>
                <w:b/>
                <w:sz w:val="24"/>
                <w:szCs w:val="24"/>
              </w:rPr>
              <w:t>Activity</w:t>
            </w:r>
          </w:p>
        </w:tc>
        <w:tc>
          <w:tcPr>
            <w:tcW w:w="3055" w:type="dxa"/>
          </w:tcPr>
          <w:p w:rsidR="00556E5B" w:rsidRPr="00556E5B" w:rsidRDefault="00556E5B" w:rsidP="00556E5B">
            <w:pPr>
              <w:pStyle w:val="NoSpacing"/>
              <w:jc w:val="center"/>
              <w:rPr>
                <w:rFonts w:ascii="Garamond" w:hAnsi="Garamond"/>
                <w:b/>
                <w:sz w:val="24"/>
                <w:szCs w:val="24"/>
              </w:rPr>
            </w:pPr>
            <w:r w:rsidRPr="00556E5B">
              <w:rPr>
                <w:rFonts w:ascii="Garamond" w:hAnsi="Garamond"/>
                <w:b/>
                <w:sz w:val="24"/>
                <w:szCs w:val="24"/>
              </w:rPr>
              <w:t>Achieved by</w:t>
            </w:r>
          </w:p>
        </w:tc>
      </w:tr>
      <w:tr w:rsidR="00556E5B" w:rsidTr="00556E5B">
        <w:tc>
          <w:tcPr>
            <w:tcW w:w="6295" w:type="dxa"/>
          </w:tcPr>
          <w:p w:rsidR="00556E5B" w:rsidRDefault="00556E5B" w:rsidP="00631610">
            <w:pPr>
              <w:pStyle w:val="NoSpacing"/>
              <w:rPr>
                <w:rFonts w:ascii="Garamond" w:hAnsi="Garamond"/>
                <w:sz w:val="24"/>
                <w:szCs w:val="24"/>
              </w:rPr>
            </w:pPr>
            <w:r>
              <w:rPr>
                <w:rFonts w:ascii="Garamond" w:hAnsi="Garamond"/>
                <w:sz w:val="24"/>
                <w:szCs w:val="24"/>
              </w:rPr>
              <w:t>Populate working groups</w:t>
            </w:r>
          </w:p>
        </w:tc>
        <w:tc>
          <w:tcPr>
            <w:tcW w:w="3055" w:type="dxa"/>
          </w:tcPr>
          <w:p w:rsidR="00556E5B" w:rsidRDefault="00556E5B" w:rsidP="00631610">
            <w:pPr>
              <w:pStyle w:val="NoSpacing"/>
              <w:rPr>
                <w:rFonts w:ascii="Garamond" w:hAnsi="Garamond"/>
                <w:sz w:val="24"/>
                <w:szCs w:val="24"/>
              </w:rPr>
            </w:pPr>
            <w:r>
              <w:rPr>
                <w:rFonts w:ascii="Garamond" w:hAnsi="Garamond"/>
                <w:sz w:val="24"/>
                <w:szCs w:val="24"/>
              </w:rPr>
              <w:t xml:space="preserve">October 1, 2014 </w:t>
            </w:r>
          </w:p>
        </w:tc>
      </w:tr>
      <w:tr w:rsidR="00867899" w:rsidTr="00556E5B">
        <w:tc>
          <w:tcPr>
            <w:tcW w:w="6295" w:type="dxa"/>
          </w:tcPr>
          <w:p w:rsidR="00867899" w:rsidRPr="00867899" w:rsidRDefault="00867899" w:rsidP="00631610">
            <w:pPr>
              <w:pStyle w:val="NoSpacing"/>
              <w:rPr>
                <w:rFonts w:ascii="Garamond" w:hAnsi="Garamond"/>
                <w:sz w:val="24"/>
                <w:szCs w:val="24"/>
              </w:rPr>
            </w:pPr>
            <w:r>
              <w:rPr>
                <w:rFonts w:ascii="Garamond" w:hAnsi="Garamond"/>
                <w:sz w:val="24"/>
                <w:szCs w:val="24"/>
              </w:rPr>
              <w:t xml:space="preserve">Establish </w:t>
            </w:r>
            <w:r>
              <w:rPr>
                <w:rFonts w:ascii="Garamond" w:hAnsi="Garamond"/>
                <w:i/>
                <w:sz w:val="24"/>
                <w:szCs w:val="24"/>
              </w:rPr>
              <w:t>Invent the Future</w:t>
            </w:r>
            <w:r>
              <w:rPr>
                <w:rFonts w:ascii="Garamond" w:hAnsi="Garamond"/>
                <w:sz w:val="24"/>
                <w:szCs w:val="24"/>
              </w:rPr>
              <w:t xml:space="preserve"> we page</w:t>
            </w:r>
          </w:p>
        </w:tc>
        <w:tc>
          <w:tcPr>
            <w:tcW w:w="3055" w:type="dxa"/>
          </w:tcPr>
          <w:p w:rsidR="00867899" w:rsidRDefault="00867899" w:rsidP="00631610">
            <w:pPr>
              <w:pStyle w:val="NoSpacing"/>
              <w:rPr>
                <w:rFonts w:ascii="Garamond" w:hAnsi="Garamond"/>
                <w:sz w:val="24"/>
                <w:szCs w:val="24"/>
              </w:rPr>
            </w:pPr>
            <w:r>
              <w:rPr>
                <w:rFonts w:ascii="Garamond" w:hAnsi="Garamond"/>
                <w:sz w:val="24"/>
                <w:szCs w:val="24"/>
              </w:rPr>
              <w:t>October 1, 2014</w:t>
            </w:r>
          </w:p>
        </w:tc>
      </w:tr>
      <w:tr w:rsidR="00556E5B" w:rsidTr="00556E5B">
        <w:tc>
          <w:tcPr>
            <w:tcW w:w="6295" w:type="dxa"/>
          </w:tcPr>
          <w:p w:rsidR="00556E5B" w:rsidRDefault="00556E5B" w:rsidP="00631610">
            <w:pPr>
              <w:pStyle w:val="NoSpacing"/>
              <w:rPr>
                <w:rFonts w:ascii="Garamond" w:hAnsi="Garamond"/>
                <w:sz w:val="24"/>
                <w:szCs w:val="24"/>
              </w:rPr>
            </w:pPr>
            <w:r>
              <w:rPr>
                <w:rFonts w:ascii="Garamond" w:hAnsi="Garamond"/>
                <w:sz w:val="24"/>
                <w:szCs w:val="24"/>
              </w:rPr>
              <w:t>Working groups first interim reports to Steering Committee</w:t>
            </w:r>
          </w:p>
        </w:tc>
        <w:tc>
          <w:tcPr>
            <w:tcW w:w="3055" w:type="dxa"/>
          </w:tcPr>
          <w:p w:rsidR="00556E5B" w:rsidRDefault="00556E5B" w:rsidP="00631610">
            <w:pPr>
              <w:pStyle w:val="NoSpacing"/>
              <w:rPr>
                <w:rFonts w:ascii="Garamond" w:hAnsi="Garamond"/>
                <w:sz w:val="24"/>
                <w:szCs w:val="24"/>
              </w:rPr>
            </w:pPr>
            <w:r>
              <w:rPr>
                <w:rFonts w:ascii="Garamond" w:hAnsi="Garamond"/>
                <w:sz w:val="24"/>
                <w:szCs w:val="24"/>
              </w:rPr>
              <w:t>October 31, 2014</w:t>
            </w:r>
          </w:p>
        </w:tc>
      </w:tr>
      <w:tr w:rsidR="00556E5B" w:rsidTr="00556E5B">
        <w:tc>
          <w:tcPr>
            <w:tcW w:w="6295" w:type="dxa"/>
          </w:tcPr>
          <w:p w:rsidR="00556E5B" w:rsidRDefault="00556E5B" w:rsidP="00631610">
            <w:pPr>
              <w:pStyle w:val="NoSpacing"/>
              <w:rPr>
                <w:rFonts w:ascii="Garamond" w:hAnsi="Garamond"/>
                <w:sz w:val="24"/>
                <w:szCs w:val="24"/>
              </w:rPr>
            </w:pPr>
            <w:r>
              <w:rPr>
                <w:rFonts w:ascii="Garamond" w:hAnsi="Garamond"/>
                <w:sz w:val="24"/>
                <w:szCs w:val="24"/>
              </w:rPr>
              <w:t xml:space="preserve">Chancellor’s Installation Remarks </w:t>
            </w:r>
          </w:p>
        </w:tc>
        <w:tc>
          <w:tcPr>
            <w:tcW w:w="3055" w:type="dxa"/>
          </w:tcPr>
          <w:p w:rsidR="00556E5B" w:rsidRDefault="00556E5B" w:rsidP="00631610">
            <w:pPr>
              <w:pStyle w:val="NoSpacing"/>
              <w:rPr>
                <w:rFonts w:ascii="Garamond" w:hAnsi="Garamond"/>
                <w:sz w:val="24"/>
                <w:szCs w:val="24"/>
              </w:rPr>
            </w:pPr>
            <w:r>
              <w:rPr>
                <w:rFonts w:ascii="Garamond" w:hAnsi="Garamond"/>
                <w:sz w:val="24"/>
                <w:szCs w:val="24"/>
              </w:rPr>
              <w:t xml:space="preserve">November 14, 2014 </w:t>
            </w:r>
          </w:p>
        </w:tc>
      </w:tr>
      <w:tr w:rsidR="00556E5B" w:rsidTr="00556E5B">
        <w:tc>
          <w:tcPr>
            <w:tcW w:w="6295" w:type="dxa"/>
          </w:tcPr>
          <w:p w:rsidR="00556E5B" w:rsidRDefault="00556E5B" w:rsidP="00631610">
            <w:pPr>
              <w:pStyle w:val="NoSpacing"/>
              <w:rPr>
                <w:rFonts w:ascii="Garamond" w:hAnsi="Garamond"/>
                <w:sz w:val="24"/>
                <w:szCs w:val="24"/>
              </w:rPr>
            </w:pPr>
            <w:r>
              <w:rPr>
                <w:rFonts w:ascii="Garamond" w:hAnsi="Garamond"/>
                <w:sz w:val="24"/>
                <w:szCs w:val="24"/>
              </w:rPr>
              <w:t>Working groups second interim reports to Steering Committee</w:t>
            </w:r>
          </w:p>
        </w:tc>
        <w:tc>
          <w:tcPr>
            <w:tcW w:w="3055" w:type="dxa"/>
          </w:tcPr>
          <w:p w:rsidR="00556E5B" w:rsidRDefault="00556E5B" w:rsidP="00631610">
            <w:pPr>
              <w:pStyle w:val="NoSpacing"/>
              <w:rPr>
                <w:rFonts w:ascii="Garamond" w:hAnsi="Garamond"/>
                <w:sz w:val="24"/>
                <w:szCs w:val="24"/>
              </w:rPr>
            </w:pPr>
            <w:r>
              <w:rPr>
                <w:rFonts w:ascii="Garamond" w:hAnsi="Garamond"/>
                <w:sz w:val="24"/>
                <w:szCs w:val="24"/>
              </w:rPr>
              <w:t xml:space="preserve">February 1, 2014 </w:t>
            </w:r>
          </w:p>
        </w:tc>
      </w:tr>
      <w:tr w:rsidR="00556E5B" w:rsidTr="00556E5B">
        <w:tc>
          <w:tcPr>
            <w:tcW w:w="6295" w:type="dxa"/>
          </w:tcPr>
          <w:p w:rsidR="00556E5B" w:rsidRDefault="00556E5B" w:rsidP="00631610">
            <w:pPr>
              <w:pStyle w:val="NoSpacing"/>
              <w:rPr>
                <w:rFonts w:ascii="Garamond" w:hAnsi="Garamond"/>
                <w:sz w:val="24"/>
                <w:szCs w:val="24"/>
              </w:rPr>
            </w:pPr>
            <w:r>
              <w:rPr>
                <w:rFonts w:ascii="Garamond" w:hAnsi="Garamond"/>
                <w:sz w:val="24"/>
                <w:szCs w:val="24"/>
              </w:rPr>
              <w:t>Final recommendations and reports to Steering Committee</w:t>
            </w:r>
          </w:p>
        </w:tc>
        <w:tc>
          <w:tcPr>
            <w:tcW w:w="3055" w:type="dxa"/>
          </w:tcPr>
          <w:p w:rsidR="00556E5B" w:rsidRDefault="00556E5B" w:rsidP="00631610">
            <w:pPr>
              <w:pStyle w:val="NoSpacing"/>
              <w:rPr>
                <w:rFonts w:ascii="Garamond" w:hAnsi="Garamond"/>
                <w:sz w:val="24"/>
                <w:szCs w:val="24"/>
              </w:rPr>
            </w:pPr>
            <w:r>
              <w:rPr>
                <w:rFonts w:ascii="Garamond" w:hAnsi="Garamond"/>
                <w:sz w:val="24"/>
                <w:szCs w:val="24"/>
              </w:rPr>
              <w:t>March 1, 2014</w:t>
            </w:r>
          </w:p>
        </w:tc>
      </w:tr>
      <w:tr w:rsidR="00556E5B" w:rsidTr="00556E5B">
        <w:tc>
          <w:tcPr>
            <w:tcW w:w="6295" w:type="dxa"/>
          </w:tcPr>
          <w:p w:rsidR="00556E5B" w:rsidRDefault="00556E5B" w:rsidP="00631610">
            <w:pPr>
              <w:pStyle w:val="NoSpacing"/>
              <w:rPr>
                <w:rFonts w:ascii="Garamond" w:hAnsi="Garamond"/>
                <w:sz w:val="24"/>
                <w:szCs w:val="24"/>
              </w:rPr>
            </w:pPr>
            <w:r>
              <w:rPr>
                <w:rFonts w:ascii="Garamond" w:hAnsi="Garamond"/>
                <w:sz w:val="24"/>
                <w:szCs w:val="24"/>
              </w:rPr>
              <w:t>Final report from Steering Committee</w:t>
            </w:r>
          </w:p>
        </w:tc>
        <w:tc>
          <w:tcPr>
            <w:tcW w:w="3055" w:type="dxa"/>
          </w:tcPr>
          <w:p w:rsidR="00556E5B" w:rsidRDefault="00556E5B" w:rsidP="00631610">
            <w:pPr>
              <w:pStyle w:val="NoSpacing"/>
              <w:rPr>
                <w:rFonts w:ascii="Garamond" w:hAnsi="Garamond"/>
                <w:sz w:val="24"/>
                <w:szCs w:val="24"/>
              </w:rPr>
            </w:pPr>
            <w:r>
              <w:rPr>
                <w:rFonts w:ascii="Garamond" w:hAnsi="Garamond"/>
                <w:sz w:val="24"/>
                <w:szCs w:val="24"/>
              </w:rPr>
              <w:t xml:space="preserve">April 1, 2014 </w:t>
            </w:r>
          </w:p>
        </w:tc>
      </w:tr>
      <w:tr w:rsidR="00556E5B" w:rsidTr="00556E5B">
        <w:tc>
          <w:tcPr>
            <w:tcW w:w="6295" w:type="dxa"/>
          </w:tcPr>
          <w:p w:rsidR="00556E5B" w:rsidRDefault="00556E5B" w:rsidP="00631610">
            <w:pPr>
              <w:pStyle w:val="NoSpacing"/>
              <w:rPr>
                <w:rFonts w:ascii="Garamond" w:hAnsi="Garamond"/>
                <w:sz w:val="24"/>
                <w:szCs w:val="24"/>
              </w:rPr>
            </w:pPr>
            <w:r>
              <w:rPr>
                <w:rFonts w:ascii="Garamond" w:hAnsi="Garamond"/>
                <w:sz w:val="24"/>
                <w:szCs w:val="24"/>
              </w:rPr>
              <w:t xml:space="preserve">Vision rollout </w:t>
            </w:r>
          </w:p>
        </w:tc>
        <w:tc>
          <w:tcPr>
            <w:tcW w:w="3055" w:type="dxa"/>
          </w:tcPr>
          <w:p w:rsidR="00556E5B" w:rsidRDefault="00556E5B" w:rsidP="00631610">
            <w:pPr>
              <w:pStyle w:val="NoSpacing"/>
              <w:rPr>
                <w:rFonts w:ascii="Garamond" w:hAnsi="Garamond"/>
                <w:sz w:val="24"/>
                <w:szCs w:val="24"/>
              </w:rPr>
            </w:pPr>
            <w:r>
              <w:rPr>
                <w:rFonts w:ascii="Garamond" w:hAnsi="Garamond"/>
                <w:sz w:val="24"/>
                <w:szCs w:val="24"/>
              </w:rPr>
              <w:t>End of Spring Semester</w:t>
            </w:r>
          </w:p>
        </w:tc>
      </w:tr>
      <w:tr w:rsidR="00556E5B" w:rsidTr="00556E5B">
        <w:tc>
          <w:tcPr>
            <w:tcW w:w="6295" w:type="dxa"/>
          </w:tcPr>
          <w:p w:rsidR="00556E5B" w:rsidRDefault="00556E5B" w:rsidP="00631610">
            <w:pPr>
              <w:pStyle w:val="NoSpacing"/>
              <w:rPr>
                <w:rFonts w:ascii="Garamond" w:hAnsi="Garamond"/>
                <w:sz w:val="24"/>
                <w:szCs w:val="24"/>
              </w:rPr>
            </w:pPr>
            <w:r>
              <w:rPr>
                <w:rFonts w:ascii="Garamond" w:hAnsi="Garamond"/>
                <w:sz w:val="24"/>
                <w:szCs w:val="24"/>
              </w:rPr>
              <w:t>Connect with 50</w:t>
            </w:r>
            <w:r w:rsidRPr="00556E5B">
              <w:rPr>
                <w:rFonts w:ascii="Garamond" w:hAnsi="Garamond"/>
                <w:sz w:val="24"/>
                <w:szCs w:val="24"/>
                <w:vertAlign w:val="superscript"/>
              </w:rPr>
              <w:t>th</w:t>
            </w:r>
            <w:r>
              <w:rPr>
                <w:rFonts w:ascii="Garamond" w:hAnsi="Garamond"/>
                <w:sz w:val="24"/>
                <w:szCs w:val="24"/>
              </w:rPr>
              <w:t xml:space="preserve"> year celebration </w:t>
            </w:r>
          </w:p>
        </w:tc>
        <w:tc>
          <w:tcPr>
            <w:tcW w:w="3055" w:type="dxa"/>
          </w:tcPr>
          <w:p w:rsidR="00556E5B" w:rsidRDefault="00556E5B" w:rsidP="00631610">
            <w:pPr>
              <w:pStyle w:val="NoSpacing"/>
              <w:rPr>
                <w:rFonts w:ascii="Garamond" w:hAnsi="Garamond"/>
                <w:sz w:val="24"/>
                <w:szCs w:val="24"/>
              </w:rPr>
            </w:pPr>
            <w:r>
              <w:rPr>
                <w:rFonts w:ascii="Garamond" w:hAnsi="Garamond"/>
                <w:sz w:val="24"/>
                <w:szCs w:val="24"/>
              </w:rPr>
              <w:t>End of Spring Semester</w:t>
            </w:r>
          </w:p>
        </w:tc>
      </w:tr>
    </w:tbl>
    <w:p w:rsidR="00556E5B" w:rsidRDefault="00556E5B" w:rsidP="00631610">
      <w:pPr>
        <w:pStyle w:val="NoSpacing"/>
        <w:rPr>
          <w:rFonts w:ascii="Garamond" w:hAnsi="Garamond"/>
          <w:sz w:val="24"/>
          <w:szCs w:val="24"/>
        </w:rPr>
      </w:pPr>
    </w:p>
    <w:p w:rsidR="00DF0F2C" w:rsidRDefault="00DF0F2C" w:rsidP="00631610">
      <w:pPr>
        <w:pStyle w:val="NoSpacing"/>
        <w:rPr>
          <w:rFonts w:ascii="Garamond" w:hAnsi="Garamond"/>
          <w:sz w:val="24"/>
          <w:szCs w:val="24"/>
        </w:rPr>
      </w:pPr>
    </w:p>
    <w:p w:rsidR="00DF0F2C" w:rsidRPr="00DA174F" w:rsidRDefault="00DF0F2C" w:rsidP="00631610">
      <w:pPr>
        <w:pStyle w:val="NoSpacing"/>
        <w:rPr>
          <w:rFonts w:ascii="Garamond" w:hAnsi="Garamond"/>
          <w:sz w:val="24"/>
          <w:szCs w:val="24"/>
        </w:rPr>
      </w:pPr>
    </w:p>
    <w:sectPr w:rsidR="00DF0F2C" w:rsidRPr="00DA174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91" w:rsidRDefault="00490891" w:rsidP="0013144B">
      <w:pPr>
        <w:spacing w:after="0" w:line="240" w:lineRule="auto"/>
      </w:pPr>
      <w:r>
        <w:separator/>
      </w:r>
    </w:p>
  </w:endnote>
  <w:endnote w:type="continuationSeparator" w:id="0">
    <w:p w:rsidR="00490891" w:rsidRDefault="00490891" w:rsidP="0013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4953"/>
      <w:docPartObj>
        <w:docPartGallery w:val="Page Numbers (Bottom of Page)"/>
        <w:docPartUnique/>
      </w:docPartObj>
    </w:sdtPr>
    <w:sdtEndPr>
      <w:rPr>
        <w:rFonts w:ascii="Garamond" w:hAnsi="Garamond"/>
        <w:noProof/>
        <w:sz w:val="20"/>
        <w:szCs w:val="20"/>
      </w:rPr>
    </w:sdtEndPr>
    <w:sdtContent>
      <w:p w:rsidR="0013144B" w:rsidRPr="0013144B" w:rsidRDefault="0013144B">
        <w:pPr>
          <w:pStyle w:val="Footer"/>
          <w:jc w:val="center"/>
          <w:rPr>
            <w:rFonts w:ascii="Garamond" w:hAnsi="Garamond"/>
            <w:sz w:val="20"/>
            <w:szCs w:val="20"/>
          </w:rPr>
        </w:pPr>
        <w:r w:rsidRPr="0013144B">
          <w:rPr>
            <w:rFonts w:ascii="Garamond" w:hAnsi="Garamond"/>
            <w:sz w:val="20"/>
            <w:szCs w:val="20"/>
          </w:rPr>
          <w:fldChar w:fldCharType="begin"/>
        </w:r>
        <w:r w:rsidRPr="0013144B">
          <w:rPr>
            <w:rFonts w:ascii="Garamond" w:hAnsi="Garamond"/>
            <w:sz w:val="20"/>
            <w:szCs w:val="20"/>
          </w:rPr>
          <w:instrText xml:space="preserve"> PAGE   \* MERGEFORMAT </w:instrText>
        </w:r>
        <w:r w:rsidRPr="0013144B">
          <w:rPr>
            <w:rFonts w:ascii="Garamond" w:hAnsi="Garamond"/>
            <w:sz w:val="20"/>
            <w:szCs w:val="20"/>
          </w:rPr>
          <w:fldChar w:fldCharType="separate"/>
        </w:r>
        <w:r w:rsidR="00206F39">
          <w:rPr>
            <w:rFonts w:ascii="Garamond" w:hAnsi="Garamond"/>
            <w:noProof/>
            <w:sz w:val="20"/>
            <w:szCs w:val="20"/>
          </w:rPr>
          <w:t>4</w:t>
        </w:r>
        <w:r w:rsidRPr="0013144B">
          <w:rPr>
            <w:rFonts w:ascii="Garamond" w:hAnsi="Garamond"/>
            <w:noProof/>
            <w:sz w:val="20"/>
            <w:szCs w:val="20"/>
          </w:rPr>
          <w:fldChar w:fldCharType="end"/>
        </w:r>
      </w:p>
    </w:sdtContent>
  </w:sdt>
  <w:p w:rsidR="0013144B" w:rsidRDefault="001314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91" w:rsidRDefault="00490891" w:rsidP="0013144B">
      <w:pPr>
        <w:spacing w:after="0" w:line="240" w:lineRule="auto"/>
      </w:pPr>
      <w:r>
        <w:separator/>
      </w:r>
    </w:p>
  </w:footnote>
  <w:footnote w:type="continuationSeparator" w:id="0">
    <w:p w:rsidR="00490891" w:rsidRDefault="00490891" w:rsidP="001314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400"/>
    <w:multiLevelType w:val="hybridMultilevel"/>
    <w:tmpl w:val="3C9EE778"/>
    <w:lvl w:ilvl="0" w:tplc="7AD83A26">
      <w:start w:val="1"/>
      <w:numFmt w:val="bullet"/>
      <w:lvlText w:val="•"/>
      <w:lvlJc w:val="left"/>
      <w:pPr>
        <w:tabs>
          <w:tab w:val="num" w:pos="720"/>
        </w:tabs>
        <w:ind w:left="720" w:hanging="360"/>
      </w:pPr>
      <w:rPr>
        <w:rFonts w:ascii="Arial" w:hAnsi="Arial" w:hint="default"/>
      </w:rPr>
    </w:lvl>
    <w:lvl w:ilvl="1" w:tplc="214CAC18">
      <w:start w:val="4939"/>
      <w:numFmt w:val="bullet"/>
      <w:lvlText w:val="•"/>
      <w:lvlJc w:val="left"/>
      <w:pPr>
        <w:tabs>
          <w:tab w:val="num" w:pos="1440"/>
        </w:tabs>
        <w:ind w:left="1440" w:hanging="360"/>
      </w:pPr>
      <w:rPr>
        <w:rFonts w:ascii="Arial" w:hAnsi="Arial" w:hint="default"/>
      </w:rPr>
    </w:lvl>
    <w:lvl w:ilvl="2" w:tplc="C0D64D90" w:tentative="1">
      <w:start w:val="1"/>
      <w:numFmt w:val="bullet"/>
      <w:lvlText w:val="•"/>
      <w:lvlJc w:val="left"/>
      <w:pPr>
        <w:tabs>
          <w:tab w:val="num" w:pos="2160"/>
        </w:tabs>
        <w:ind w:left="2160" w:hanging="360"/>
      </w:pPr>
      <w:rPr>
        <w:rFonts w:ascii="Arial" w:hAnsi="Arial" w:hint="default"/>
      </w:rPr>
    </w:lvl>
    <w:lvl w:ilvl="3" w:tplc="FF92184C" w:tentative="1">
      <w:start w:val="1"/>
      <w:numFmt w:val="bullet"/>
      <w:lvlText w:val="•"/>
      <w:lvlJc w:val="left"/>
      <w:pPr>
        <w:tabs>
          <w:tab w:val="num" w:pos="2880"/>
        </w:tabs>
        <w:ind w:left="2880" w:hanging="360"/>
      </w:pPr>
      <w:rPr>
        <w:rFonts w:ascii="Arial" w:hAnsi="Arial" w:hint="default"/>
      </w:rPr>
    </w:lvl>
    <w:lvl w:ilvl="4" w:tplc="87DA4854" w:tentative="1">
      <w:start w:val="1"/>
      <w:numFmt w:val="bullet"/>
      <w:lvlText w:val="•"/>
      <w:lvlJc w:val="left"/>
      <w:pPr>
        <w:tabs>
          <w:tab w:val="num" w:pos="3600"/>
        </w:tabs>
        <w:ind w:left="3600" w:hanging="360"/>
      </w:pPr>
      <w:rPr>
        <w:rFonts w:ascii="Arial" w:hAnsi="Arial" w:hint="default"/>
      </w:rPr>
    </w:lvl>
    <w:lvl w:ilvl="5" w:tplc="12EC3740" w:tentative="1">
      <w:start w:val="1"/>
      <w:numFmt w:val="bullet"/>
      <w:lvlText w:val="•"/>
      <w:lvlJc w:val="left"/>
      <w:pPr>
        <w:tabs>
          <w:tab w:val="num" w:pos="4320"/>
        </w:tabs>
        <w:ind w:left="4320" w:hanging="360"/>
      </w:pPr>
      <w:rPr>
        <w:rFonts w:ascii="Arial" w:hAnsi="Arial" w:hint="default"/>
      </w:rPr>
    </w:lvl>
    <w:lvl w:ilvl="6" w:tplc="FA9E111E" w:tentative="1">
      <w:start w:val="1"/>
      <w:numFmt w:val="bullet"/>
      <w:lvlText w:val="•"/>
      <w:lvlJc w:val="left"/>
      <w:pPr>
        <w:tabs>
          <w:tab w:val="num" w:pos="5040"/>
        </w:tabs>
        <w:ind w:left="5040" w:hanging="360"/>
      </w:pPr>
      <w:rPr>
        <w:rFonts w:ascii="Arial" w:hAnsi="Arial" w:hint="default"/>
      </w:rPr>
    </w:lvl>
    <w:lvl w:ilvl="7" w:tplc="2E90950C" w:tentative="1">
      <w:start w:val="1"/>
      <w:numFmt w:val="bullet"/>
      <w:lvlText w:val="•"/>
      <w:lvlJc w:val="left"/>
      <w:pPr>
        <w:tabs>
          <w:tab w:val="num" w:pos="5760"/>
        </w:tabs>
        <w:ind w:left="5760" w:hanging="360"/>
      </w:pPr>
      <w:rPr>
        <w:rFonts w:ascii="Arial" w:hAnsi="Arial" w:hint="default"/>
      </w:rPr>
    </w:lvl>
    <w:lvl w:ilvl="8" w:tplc="8E700626" w:tentative="1">
      <w:start w:val="1"/>
      <w:numFmt w:val="bullet"/>
      <w:lvlText w:val="•"/>
      <w:lvlJc w:val="left"/>
      <w:pPr>
        <w:tabs>
          <w:tab w:val="num" w:pos="6480"/>
        </w:tabs>
        <w:ind w:left="6480" w:hanging="360"/>
      </w:pPr>
      <w:rPr>
        <w:rFonts w:ascii="Arial" w:hAnsi="Arial" w:hint="default"/>
      </w:rPr>
    </w:lvl>
  </w:abstractNum>
  <w:abstractNum w:abstractNumId="1">
    <w:nsid w:val="23B341AB"/>
    <w:multiLevelType w:val="hybridMultilevel"/>
    <w:tmpl w:val="213AF866"/>
    <w:lvl w:ilvl="0" w:tplc="13EEFD92">
      <w:start w:val="1"/>
      <w:numFmt w:val="bullet"/>
      <w:lvlText w:val="•"/>
      <w:lvlJc w:val="left"/>
      <w:pPr>
        <w:tabs>
          <w:tab w:val="num" w:pos="720"/>
        </w:tabs>
        <w:ind w:left="720" w:hanging="360"/>
      </w:pPr>
      <w:rPr>
        <w:rFonts w:ascii="Arial" w:hAnsi="Arial" w:hint="default"/>
      </w:rPr>
    </w:lvl>
    <w:lvl w:ilvl="1" w:tplc="7EE47042" w:tentative="1">
      <w:start w:val="1"/>
      <w:numFmt w:val="bullet"/>
      <w:lvlText w:val="•"/>
      <w:lvlJc w:val="left"/>
      <w:pPr>
        <w:tabs>
          <w:tab w:val="num" w:pos="1440"/>
        </w:tabs>
        <w:ind w:left="1440" w:hanging="360"/>
      </w:pPr>
      <w:rPr>
        <w:rFonts w:ascii="Arial" w:hAnsi="Arial" w:hint="default"/>
      </w:rPr>
    </w:lvl>
    <w:lvl w:ilvl="2" w:tplc="19EEFF1C" w:tentative="1">
      <w:start w:val="1"/>
      <w:numFmt w:val="bullet"/>
      <w:lvlText w:val="•"/>
      <w:lvlJc w:val="left"/>
      <w:pPr>
        <w:tabs>
          <w:tab w:val="num" w:pos="2160"/>
        </w:tabs>
        <w:ind w:left="2160" w:hanging="360"/>
      </w:pPr>
      <w:rPr>
        <w:rFonts w:ascii="Arial" w:hAnsi="Arial" w:hint="default"/>
      </w:rPr>
    </w:lvl>
    <w:lvl w:ilvl="3" w:tplc="61928E14" w:tentative="1">
      <w:start w:val="1"/>
      <w:numFmt w:val="bullet"/>
      <w:lvlText w:val="•"/>
      <w:lvlJc w:val="left"/>
      <w:pPr>
        <w:tabs>
          <w:tab w:val="num" w:pos="2880"/>
        </w:tabs>
        <w:ind w:left="2880" w:hanging="360"/>
      </w:pPr>
      <w:rPr>
        <w:rFonts w:ascii="Arial" w:hAnsi="Arial" w:hint="default"/>
      </w:rPr>
    </w:lvl>
    <w:lvl w:ilvl="4" w:tplc="0BD4080A" w:tentative="1">
      <w:start w:val="1"/>
      <w:numFmt w:val="bullet"/>
      <w:lvlText w:val="•"/>
      <w:lvlJc w:val="left"/>
      <w:pPr>
        <w:tabs>
          <w:tab w:val="num" w:pos="3600"/>
        </w:tabs>
        <w:ind w:left="3600" w:hanging="360"/>
      </w:pPr>
      <w:rPr>
        <w:rFonts w:ascii="Arial" w:hAnsi="Arial" w:hint="default"/>
      </w:rPr>
    </w:lvl>
    <w:lvl w:ilvl="5" w:tplc="D64A73D8" w:tentative="1">
      <w:start w:val="1"/>
      <w:numFmt w:val="bullet"/>
      <w:lvlText w:val="•"/>
      <w:lvlJc w:val="left"/>
      <w:pPr>
        <w:tabs>
          <w:tab w:val="num" w:pos="4320"/>
        </w:tabs>
        <w:ind w:left="4320" w:hanging="360"/>
      </w:pPr>
      <w:rPr>
        <w:rFonts w:ascii="Arial" w:hAnsi="Arial" w:hint="default"/>
      </w:rPr>
    </w:lvl>
    <w:lvl w:ilvl="6" w:tplc="B3B47580" w:tentative="1">
      <w:start w:val="1"/>
      <w:numFmt w:val="bullet"/>
      <w:lvlText w:val="•"/>
      <w:lvlJc w:val="left"/>
      <w:pPr>
        <w:tabs>
          <w:tab w:val="num" w:pos="5040"/>
        </w:tabs>
        <w:ind w:left="5040" w:hanging="360"/>
      </w:pPr>
      <w:rPr>
        <w:rFonts w:ascii="Arial" w:hAnsi="Arial" w:hint="default"/>
      </w:rPr>
    </w:lvl>
    <w:lvl w:ilvl="7" w:tplc="44E6A9E8" w:tentative="1">
      <w:start w:val="1"/>
      <w:numFmt w:val="bullet"/>
      <w:lvlText w:val="•"/>
      <w:lvlJc w:val="left"/>
      <w:pPr>
        <w:tabs>
          <w:tab w:val="num" w:pos="5760"/>
        </w:tabs>
        <w:ind w:left="5760" w:hanging="360"/>
      </w:pPr>
      <w:rPr>
        <w:rFonts w:ascii="Arial" w:hAnsi="Arial" w:hint="default"/>
      </w:rPr>
    </w:lvl>
    <w:lvl w:ilvl="8" w:tplc="AFACE9E0" w:tentative="1">
      <w:start w:val="1"/>
      <w:numFmt w:val="bullet"/>
      <w:lvlText w:val="•"/>
      <w:lvlJc w:val="left"/>
      <w:pPr>
        <w:tabs>
          <w:tab w:val="num" w:pos="6480"/>
        </w:tabs>
        <w:ind w:left="6480" w:hanging="360"/>
      </w:pPr>
      <w:rPr>
        <w:rFonts w:ascii="Arial" w:hAnsi="Arial" w:hint="default"/>
      </w:rPr>
    </w:lvl>
  </w:abstractNum>
  <w:abstractNum w:abstractNumId="2">
    <w:nsid w:val="2D7B7453"/>
    <w:multiLevelType w:val="hybridMultilevel"/>
    <w:tmpl w:val="BCDC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700C5"/>
    <w:multiLevelType w:val="hybridMultilevel"/>
    <w:tmpl w:val="89C0100A"/>
    <w:lvl w:ilvl="0" w:tplc="90B29A22">
      <w:start w:val="1"/>
      <w:numFmt w:val="bullet"/>
      <w:lvlText w:val="•"/>
      <w:lvlJc w:val="left"/>
      <w:pPr>
        <w:tabs>
          <w:tab w:val="num" w:pos="720"/>
        </w:tabs>
        <w:ind w:left="720" w:hanging="360"/>
      </w:pPr>
      <w:rPr>
        <w:rFonts w:ascii="Arial" w:hAnsi="Arial" w:hint="default"/>
      </w:rPr>
    </w:lvl>
    <w:lvl w:ilvl="1" w:tplc="A754E35C" w:tentative="1">
      <w:start w:val="1"/>
      <w:numFmt w:val="bullet"/>
      <w:lvlText w:val="•"/>
      <w:lvlJc w:val="left"/>
      <w:pPr>
        <w:tabs>
          <w:tab w:val="num" w:pos="1440"/>
        </w:tabs>
        <w:ind w:left="1440" w:hanging="360"/>
      </w:pPr>
      <w:rPr>
        <w:rFonts w:ascii="Arial" w:hAnsi="Arial" w:hint="default"/>
      </w:rPr>
    </w:lvl>
    <w:lvl w:ilvl="2" w:tplc="F5B2345C" w:tentative="1">
      <w:start w:val="1"/>
      <w:numFmt w:val="bullet"/>
      <w:lvlText w:val="•"/>
      <w:lvlJc w:val="left"/>
      <w:pPr>
        <w:tabs>
          <w:tab w:val="num" w:pos="2160"/>
        </w:tabs>
        <w:ind w:left="2160" w:hanging="360"/>
      </w:pPr>
      <w:rPr>
        <w:rFonts w:ascii="Arial" w:hAnsi="Arial" w:hint="default"/>
      </w:rPr>
    </w:lvl>
    <w:lvl w:ilvl="3" w:tplc="3D8E044A" w:tentative="1">
      <w:start w:val="1"/>
      <w:numFmt w:val="bullet"/>
      <w:lvlText w:val="•"/>
      <w:lvlJc w:val="left"/>
      <w:pPr>
        <w:tabs>
          <w:tab w:val="num" w:pos="2880"/>
        </w:tabs>
        <w:ind w:left="2880" w:hanging="360"/>
      </w:pPr>
      <w:rPr>
        <w:rFonts w:ascii="Arial" w:hAnsi="Arial" w:hint="default"/>
      </w:rPr>
    </w:lvl>
    <w:lvl w:ilvl="4" w:tplc="F1DC2D36" w:tentative="1">
      <w:start w:val="1"/>
      <w:numFmt w:val="bullet"/>
      <w:lvlText w:val="•"/>
      <w:lvlJc w:val="left"/>
      <w:pPr>
        <w:tabs>
          <w:tab w:val="num" w:pos="3600"/>
        </w:tabs>
        <w:ind w:left="3600" w:hanging="360"/>
      </w:pPr>
      <w:rPr>
        <w:rFonts w:ascii="Arial" w:hAnsi="Arial" w:hint="default"/>
      </w:rPr>
    </w:lvl>
    <w:lvl w:ilvl="5" w:tplc="CA92F5B6" w:tentative="1">
      <w:start w:val="1"/>
      <w:numFmt w:val="bullet"/>
      <w:lvlText w:val="•"/>
      <w:lvlJc w:val="left"/>
      <w:pPr>
        <w:tabs>
          <w:tab w:val="num" w:pos="4320"/>
        </w:tabs>
        <w:ind w:left="4320" w:hanging="360"/>
      </w:pPr>
      <w:rPr>
        <w:rFonts w:ascii="Arial" w:hAnsi="Arial" w:hint="default"/>
      </w:rPr>
    </w:lvl>
    <w:lvl w:ilvl="6" w:tplc="01046836" w:tentative="1">
      <w:start w:val="1"/>
      <w:numFmt w:val="bullet"/>
      <w:lvlText w:val="•"/>
      <w:lvlJc w:val="left"/>
      <w:pPr>
        <w:tabs>
          <w:tab w:val="num" w:pos="5040"/>
        </w:tabs>
        <w:ind w:left="5040" w:hanging="360"/>
      </w:pPr>
      <w:rPr>
        <w:rFonts w:ascii="Arial" w:hAnsi="Arial" w:hint="default"/>
      </w:rPr>
    </w:lvl>
    <w:lvl w:ilvl="7" w:tplc="60E824E4" w:tentative="1">
      <w:start w:val="1"/>
      <w:numFmt w:val="bullet"/>
      <w:lvlText w:val="•"/>
      <w:lvlJc w:val="left"/>
      <w:pPr>
        <w:tabs>
          <w:tab w:val="num" w:pos="5760"/>
        </w:tabs>
        <w:ind w:left="5760" w:hanging="360"/>
      </w:pPr>
      <w:rPr>
        <w:rFonts w:ascii="Arial" w:hAnsi="Arial" w:hint="default"/>
      </w:rPr>
    </w:lvl>
    <w:lvl w:ilvl="8" w:tplc="91E8F0BA" w:tentative="1">
      <w:start w:val="1"/>
      <w:numFmt w:val="bullet"/>
      <w:lvlText w:val="•"/>
      <w:lvlJc w:val="left"/>
      <w:pPr>
        <w:tabs>
          <w:tab w:val="num" w:pos="6480"/>
        </w:tabs>
        <w:ind w:left="6480" w:hanging="360"/>
      </w:pPr>
      <w:rPr>
        <w:rFonts w:ascii="Arial" w:hAnsi="Arial" w:hint="default"/>
      </w:rPr>
    </w:lvl>
  </w:abstractNum>
  <w:abstractNum w:abstractNumId="4">
    <w:nsid w:val="48344446"/>
    <w:multiLevelType w:val="hybridMultilevel"/>
    <w:tmpl w:val="D2F2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FE1"/>
    <w:multiLevelType w:val="hybridMultilevel"/>
    <w:tmpl w:val="C7B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C53F7"/>
    <w:multiLevelType w:val="hybridMultilevel"/>
    <w:tmpl w:val="C75A521A"/>
    <w:lvl w:ilvl="0" w:tplc="0618FFE6">
      <w:start w:val="1"/>
      <w:numFmt w:val="bullet"/>
      <w:lvlText w:val="•"/>
      <w:lvlJc w:val="left"/>
      <w:pPr>
        <w:tabs>
          <w:tab w:val="num" w:pos="720"/>
        </w:tabs>
        <w:ind w:left="720" w:hanging="360"/>
      </w:pPr>
      <w:rPr>
        <w:rFonts w:ascii="Arial" w:hAnsi="Arial" w:hint="default"/>
      </w:rPr>
    </w:lvl>
    <w:lvl w:ilvl="1" w:tplc="C756B30A" w:tentative="1">
      <w:start w:val="1"/>
      <w:numFmt w:val="bullet"/>
      <w:lvlText w:val="•"/>
      <w:lvlJc w:val="left"/>
      <w:pPr>
        <w:tabs>
          <w:tab w:val="num" w:pos="1440"/>
        </w:tabs>
        <w:ind w:left="1440" w:hanging="360"/>
      </w:pPr>
      <w:rPr>
        <w:rFonts w:ascii="Arial" w:hAnsi="Arial" w:hint="default"/>
      </w:rPr>
    </w:lvl>
    <w:lvl w:ilvl="2" w:tplc="3686092E" w:tentative="1">
      <w:start w:val="1"/>
      <w:numFmt w:val="bullet"/>
      <w:lvlText w:val="•"/>
      <w:lvlJc w:val="left"/>
      <w:pPr>
        <w:tabs>
          <w:tab w:val="num" w:pos="2160"/>
        </w:tabs>
        <w:ind w:left="2160" w:hanging="360"/>
      </w:pPr>
      <w:rPr>
        <w:rFonts w:ascii="Arial" w:hAnsi="Arial" w:hint="default"/>
      </w:rPr>
    </w:lvl>
    <w:lvl w:ilvl="3" w:tplc="83B67AFC" w:tentative="1">
      <w:start w:val="1"/>
      <w:numFmt w:val="bullet"/>
      <w:lvlText w:val="•"/>
      <w:lvlJc w:val="left"/>
      <w:pPr>
        <w:tabs>
          <w:tab w:val="num" w:pos="2880"/>
        </w:tabs>
        <w:ind w:left="2880" w:hanging="360"/>
      </w:pPr>
      <w:rPr>
        <w:rFonts w:ascii="Arial" w:hAnsi="Arial" w:hint="default"/>
      </w:rPr>
    </w:lvl>
    <w:lvl w:ilvl="4" w:tplc="A818190E" w:tentative="1">
      <w:start w:val="1"/>
      <w:numFmt w:val="bullet"/>
      <w:lvlText w:val="•"/>
      <w:lvlJc w:val="left"/>
      <w:pPr>
        <w:tabs>
          <w:tab w:val="num" w:pos="3600"/>
        </w:tabs>
        <w:ind w:left="3600" w:hanging="360"/>
      </w:pPr>
      <w:rPr>
        <w:rFonts w:ascii="Arial" w:hAnsi="Arial" w:hint="default"/>
      </w:rPr>
    </w:lvl>
    <w:lvl w:ilvl="5" w:tplc="B45E28C2" w:tentative="1">
      <w:start w:val="1"/>
      <w:numFmt w:val="bullet"/>
      <w:lvlText w:val="•"/>
      <w:lvlJc w:val="left"/>
      <w:pPr>
        <w:tabs>
          <w:tab w:val="num" w:pos="4320"/>
        </w:tabs>
        <w:ind w:left="4320" w:hanging="360"/>
      </w:pPr>
      <w:rPr>
        <w:rFonts w:ascii="Arial" w:hAnsi="Arial" w:hint="default"/>
      </w:rPr>
    </w:lvl>
    <w:lvl w:ilvl="6" w:tplc="EE442702" w:tentative="1">
      <w:start w:val="1"/>
      <w:numFmt w:val="bullet"/>
      <w:lvlText w:val="•"/>
      <w:lvlJc w:val="left"/>
      <w:pPr>
        <w:tabs>
          <w:tab w:val="num" w:pos="5040"/>
        </w:tabs>
        <w:ind w:left="5040" w:hanging="360"/>
      </w:pPr>
      <w:rPr>
        <w:rFonts w:ascii="Arial" w:hAnsi="Arial" w:hint="default"/>
      </w:rPr>
    </w:lvl>
    <w:lvl w:ilvl="7" w:tplc="C3CCE198" w:tentative="1">
      <w:start w:val="1"/>
      <w:numFmt w:val="bullet"/>
      <w:lvlText w:val="•"/>
      <w:lvlJc w:val="left"/>
      <w:pPr>
        <w:tabs>
          <w:tab w:val="num" w:pos="5760"/>
        </w:tabs>
        <w:ind w:left="5760" w:hanging="360"/>
      </w:pPr>
      <w:rPr>
        <w:rFonts w:ascii="Arial" w:hAnsi="Arial" w:hint="default"/>
      </w:rPr>
    </w:lvl>
    <w:lvl w:ilvl="8" w:tplc="23782928" w:tentative="1">
      <w:start w:val="1"/>
      <w:numFmt w:val="bullet"/>
      <w:lvlText w:val="•"/>
      <w:lvlJc w:val="left"/>
      <w:pPr>
        <w:tabs>
          <w:tab w:val="num" w:pos="6480"/>
        </w:tabs>
        <w:ind w:left="6480" w:hanging="360"/>
      </w:pPr>
      <w:rPr>
        <w:rFonts w:ascii="Arial" w:hAnsi="Arial" w:hint="default"/>
      </w:rPr>
    </w:lvl>
  </w:abstractNum>
  <w:abstractNum w:abstractNumId="7">
    <w:nsid w:val="55FB4599"/>
    <w:multiLevelType w:val="hybridMultilevel"/>
    <w:tmpl w:val="736E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E5941"/>
    <w:multiLevelType w:val="hybridMultilevel"/>
    <w:tmpl w:val="A852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AF4DD8"/>
    <w:multiLevelType w:val="hybridMultilevel"/>
    <w:tmpl w:val="38DEF2A6"/>
    <w:lvl w:ilvl="0" w:tplc="70D4F586">
      <w:start w:val="1"/>
      <w:numFmt w:val="bullet"/>
      <w:lvlText w:val="•"/>
      <w:lvlJc w:val="left"/>
      <w:pPr>
        <w:tabs>
          <w:tab w:val="num" w:pos="720"/>
        </w:tabs>
        <w:ind w:left="720" w:hanging="360"/>
      </w:pPr>
      <w:rPr>
        <w:rFonts w:ascii="Arial" w:hAnsi="Arial" w:hint="default"/>
      </w:rPr>
    </w:lvl>
    <w:lvl w:ilvl="1" w:tplc="A172198E" w:tentative="1">
      <w:start w:val="1"/>
      <w:numFmt w:val="bullet"/>
      <w:lvlText w:val="•"/>
      <w:lvlJc w:val="left"/>
      <w:pPr>
        <w:tabs>
          <w:tab w:val="num" w:pos="1440"/>
        </w:tabs>
        <w:ind w:left="1440" w:hanging="360"/>
      </w:pPr>
      <w:rPr>
        <w:rFonts w:ascii="Arial" w:hAnsi="Arial" w:hint="default"/>
      </w:rPr>
    </w:lvl>
    <w:lvl w:ilvl="2" w:tplc="C2B8A55C" w:tentative="1">
      <w:start w:val="1"/>
      <w:numFmt w:val="bullet"/>
      <w:lvlText w:val="•"/>
      <w:lvlJc w:val="left"/>
      <w:pPr>
        <w:tabs>
          <w:tab w:val="num" w:pos="2160"/>
        </w:tabs>
        <w:ind w:left="2160" w:hanging="360"/>
      </w:pPr>
      <w:rPr>
        <w:rFonts w:ascii="Arial" w:hAnsi="Arial" w:hint="default"/>
      </w:rPr>
    </w:lvl>
    <w:lvl w:ilvl="3" w:tplc="4546F20A" w:tentative="1">
      <w:start w:val="1"/>
      <w:numFmt w:val="bullet"/>
      <w:lvlText w:val="•"/>
      <w:lvlJc w:val="left"/>
      <w:pPr>
        <w:tabs>
          <w:tab w:val="num" w:pos="2880"/>
        </w:tabs>
        <w:ind w:left="2880" w:hanging="360"/>
      </w:pPr>
      <w:rPr>
        <w:rFonts w:ascii="Arial" w:hAnsi="Arial" w:hint="default"/>
      </w:rPr>
    </w:lvl>
    <w:lvl w:ilvl="4" w:tplc="2EF4A0AA" w:tentative="1">
      <w:start w:val="1"/>
      <w:numFmt w:val="bullet"/>
      <w:lvlText w:val="•"/>
      <w:lvlJc w:val="left"/>
      <w:pPr>
        <w:tabs>
          <w:tab w:val="num" w:pos="3600"/>
        </w:tabs>
        <w:ind w:left="3600" w:hanging="360"/>
      </w:pPr>
      <w:rPr>
        <w:rFonts w:ascii="Arial" w:hAnsi="Arial" w:hint="default"/>
      </w:rPr>
    </w:lvl>
    <w:lvl w:ilvl="5" w:tplc="41B8868C" w:tentative="1">
      <w:start w:val="1"/>
      <w:numFmt w:val="bullet"/>
      <w:lvlText w:val="•"/>
      <w:lvlJc w:val="left"/>
      <w:pPr>
        <w:tabs>
          <w:tab w:val="num" w:pos="4320"/>
        </w:tabs>
        <w:ind w:left="4320" w:hanging="360"/>
      </w:pPr>
      <w:rPr>
        <w:rFonts w:ascii="Arial" w:hAnsi="Arial" w:hint="default"/>
      </w:rPr>
    </w:lvl>
    <w:lvl w:ilvl="6" w:tplc="466C1CC0" w:tentative="1">
      <w:start w:val="1"/>
      <w:numFmt w:val="bullet"/>
      <w:lvlText w:val="•"/>
      <w:lvlJc w:val="left"/>
      <w:pPr>
        <w:tabs>
          <w:tab w:val="num" w:pos="5040"/>
        </w:tabs>
        <w:ind w:left="5040" w:hanging="360"/>
      </w:pPr>
      <w:rPr>
        <w:rFonts w:ascii="Arial" w:hAnsi="Arial" w:hint="default"/>
      </w:rPr>
    </w:lvl>
    <w:lvl w:ilvl="7" w:tplc="4CB4F9F6" w:tentative="1">
      <w:start w:val="1"/>
      <w:numFmt w:val="bullet"/>
      <w:lvlText w:val="•"/>
      <w:lvlJc w:val="left"/>
      <w:pPr>
        <w:tabs>
          <w:tab w:val="num" w:pos="5760"/>
        </w:tabs>
        <w:ind w:left="5760" w:hanging="360"/>
      </w:pPr>
      <w:rPr>
        <w:rFonts w:ascii="Arial" w:hAnsi="Arial" w:hint="default"/>
      </w:rPr>
    </w:lvl>
    <w:lvl w:ilvl="8" w:tplc="08C82A6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5"/>
  </w:num>
  <w:num w:numId="4">
    <w:abstractNumId w:val="3"/>
  </w:num>
  <w:num w:numId="5">
    <w:abstractNumId w:val="9"/>
  </w:num>
  <w:num w:numId="6">
    <w:abstractNumId w:val="0"/>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10"/>
    <w:rsid w:val="0013144B"/>
    <w:rsid w:val="001436E5"/>
    <w:rsid w:val="001905AE"/>
    <w:rsid w:val="00206F39"/>
    <w:rsid w:val="0024413B"/>
    <w:rsid w:val="002E67A9"/>
    <w:rsid w:val="003A02A1"/>
    <w:rsid w:val="003B7B7E"/>
    <w:rsid w:val="00490891"/>
    <w:rsid w:val="004C3854"/>
    <w:rsid w:val="004F116E"/>
    <w:rsid w:val="00556E5B"/>
    <w:rsid w:val="005B095E"/>
    <w:rsid w:val="00631610"/>
    <w:rsid w:val="007104D8"/>
    <w:rsid w:val="00867899"/>
    <w:rsid w:val="0088489F"/>
    <w:rsid w:val="008C51AF"/>
    <w:rsid w:val="008C5D9A"/>
    <w:rsid w:val="00993A4A"/>
    <w:rsid w:val="00A17AFE"/>
    <w:rsid w:val="00A26CD8"/>
    <w:rsid w:val="00AD3D7C"/>
    <w:rsid w:val="00B8120E"/>
    <w:rsid w:val="00D32AF6"/>
    <w:rsid w:val="00D9758E"/>
    <w:rsid w:val="00DA174F"/>
    <w:rsid w:val="00DF0F2C"/>
    <w:rsid w:val="00E93F38"/>
    <w:rsid w:val="00F20277"/>
    <w:rsid w:val="00FC341F"/>
    <w:rsid w:val="00FF0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610"/>
    <w:pPr>
      <w:spacing w:after="0" w:line="240" w:lineRule="auto"/>
    </w:pPr>
  </w:style>
  <w:style w:type="character" w:styleId="Hyperlink">
    <w:name w:val="Hyperlink"/>
    <w:basedOn w:val="DefaultParagraphFont"/>
    <w:uiPriority w:val="99"/>
    <w:semiHidden/>
    <w:unhideWhenUsed/>
    <w:rsid w:val="004F116E"/>
    <w:rPr>
      <w:color w:val="0000FF"/>
      <w:u w:val="single"/>
    </w:rPr>
  </w:style>
  <w:style w:type="paragraph" w:styleId="NormalWeb">
    <w:name w:val="Normal (Web)"/>
    <w:basedOn w:val="Normal"/>
    <w:uiPriority w:val="99"/>
    <w:semiHidden/>
    <w:unhideWhenUsed/>
    <w:rsid w:val="004F116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44B"/>
  </w:style>
  <w:style w:type="paragraph" w:styleId="Footer">
    <w:name w:val="footer"/>
    <w:basedOn w:val="Normal"/>
    <w:link w:val="FooterChar"/>
    <w:uiPriority w:val="99"/>
    <w:unhideWhenUsed/>
    <w:rsid w:val="00131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44B"/>
  </w:style>
  <w:style w:type="table" w:styleId="TableGrid">
    <w:name w:val="Table Grid"/>
    <w:basedOn w:val="TableNormal"/>
    <w:uiPriority w:val="39"/>
    <w:rsid w:val="00556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89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610"/>
    <w:pPr>
      <w:spacing w:after="0" w:line="240" w:lineRule="auto"/>
    </w:pPr>
  </w:style>
  <w:style w:type="character" w:styleId="Hyperlink">
    <w:name w:val="Hyperlink"/>
    <w:basedOn w:val="DefaultParagraphFont"/>
    <w:uiPriority w:val="99"/>
    <w:semiHidden/>
    <w:unhideWhenUsed/>
    <w:rsid w:val="004F116E"/>
    <w:rPr>
      <w:color w:val="0000FF"/>
      <w:u w:val="single"/>
    </w:rPr>
  </w:style>
  <w:style w:type="paragraph" w:styleId="NormalWeb">
    <w:name w:val="Normal (Web)"/>
    <w:basedOn w:val="Normal"/>
    <w:uiPriority w:val="99"/>
    <w:semiHidden/>
    <w:unhideWhenUsed/>
    <w:rsid w:val="004F116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44B"/>
  </w:style>
  <w:style w:type="paragraph" w:styleId="Footer">
    <w:name w:val="footer"/>
    <w:basedOn w:val="Normal"/>
    <w:link w:val="FooterChar"/>
    <w:uiPriority w:val="99"/>
    <w:unhideWhenUsed/>
    <w:rsid w:val="00131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44B"/>
  </w:style>
  <w:style w:type="table" w:styleId="TableGrid">
    <w:name w:val="Table Grid"/>
    <w:basedOn w:val="TableNormal"/>
    <w:uiPriority w:val="39"/>
    <w:rsid w:val="00556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4363">
      <w:bodyDiv w:val="1"/>
      <w:marLeft w:val="0"/>
      <w:marRight w:val="0"/>
      <w:marTop w:val="0"/>
      <w:marBottom w:val="0"/>
      <w:divBdr>
        <w:top w:val="none" w:sz="0" w:space="0" w:color="auto"/>
        <w:left w:val="none" w:sz="0" w:space="0" w:color="auto"/>
        <w:bottom w:val="none" w:sz="0" w:space="0" w:color="auto"/>
        <w:right w:val="none" w:sz="0" w:space="0" w:color="auto"/>
      </w:divBdr>
      <w:divsChild>
        <w:div w:id="246424537">
          <w:marLeft w:val="0"/>
          <w:marRight w:val="0"/>
          <w:marTop w:val="0"/>
          <w:marBottom w:val="0"/>
          <w:divBdr>
            <w:top w:val="none" w:sz="0" w:space="0" w:color="auto"/>
            <w:left w:val="none" w:sz="0" w:space="0" w:color="auto"/>
            <w:bottom w:val="none" w:sz="0" w:space="0" w:color="auto"/>
            <w:right w:val="none" w:sz="0" w:space="0" w:color="auto"/>
          </w:divBdr>
        </w:div>
        <w:div w:id="1198011288">
          <w:marLeft w:val="0"/>
          <w:marRight w:val="0"/>
          <w:marTop w:val="0"/>
          <w:marBottom w:val="0"/>
          <w:divBdr>
            <w:top w:val="none" w:sz="0" w:space="0" w:color="auto"/>
            <w:left w:val="none" w:sz="0" w:space="0" w:color="auto"/>
            <w:bottom w:val="none" w:sz="0" w:space="0" w:color="auto"/>
            <w:right w:val="none" w:sz="0" w:space="0" w:color="auto"/>
          </w:divBdr>
        </w:div>
        <w:div w:id="2005816023">
          <w:marLeft w:val="0"/>
          <w:marRight w:val="0"/>
          <w:marTop w:val="0"/>
          <w:marBottom w:val="0"/>
          <w:divBdr>
            <w:top w:val="none" w:sz="0" w:space="0" w:color="auto"/>
            <w:left w:val="none" w:sz="0" w:space="0" w:color="auto"/>
            <w:bottom w:val="none" w:sz="0" w:space="0" w:color="auto"/>
            <w:right w:val="none" w:sz="0" w:space="0" w:color="auto"/>
          </w:divBdr>
        </w:div>
        <w:div w:id="411509212">
          <w:marLeft w:val="0"/>
          <w:marRight w:val="0"/>
          <w:marTop w:val="0"/>
          <w:marBottom w:val="0"/>
          <w:divBdr>
            <w:top w:val="none" w:sz="0" w:space="0" w:color="auto"/>
            <w:left w:val="none" w:sz="0" w:space="0" w:color="auto"/>
            <w:bottom w:val="none" w:sz="0" w:space="0" w:color="auto"/>
            <w:right w:val="none" w:sz="0" w:space="0" w:color="auto"/>
          </w:divBdr>
        </w:div>
        <w:div w:id="1950814408">
          <w:marLeft w:val="0"/>
          <w:marRight w:val="0"/>
          <w:marTop w:val="0"/>
          <w:marBottom w:val="0"/>
          <w:divBdr>
            <w:top w:val="none" w:sz="0" w:space="0" w:color="auto"/>
            <w:left w:val="none" w:sz="0" w:space="0" w:color="auto"/>
            <w:bottom w:val="none" w:sz="0" w:space="0" w:color="auto"/>
            <w:right w:val="none" w:sz="0" w:space="0" w:color="auto"/>
          </w:divBdr>
        </w:div>
        <w:div w:id="1578124562">
          <w:marLeft w:val="0"/>
          <w:marRight w:val="0"/>
          <w:marTop w:val="0"/>
          <w:marBottom w:val="0"/>
          <w:divBdr>
            <w:top w:val="single" w:sz="8" w:space="3" w:color="B5C4DF"/>
            <w:left w:val="none" w:sz="0" w:space="0" w:color="auto"/>
            <w:bottom w:val="none" w:sz="0" w:space="0" w:color="auto"/>
            <w:right w:val="none" w:sz="0" w:space="0" w:color="auto"/>
          </w:divBdr>
        </w:div>
        <w:div w:id="1469201110">
          <w:marLeft w:val="0"/>
          <w:marRight w:val="0"/>
          <w:marTop w:val="0"/>
          <w:marBottom w:val="0"/>
          <w:divBdr>
            <w:top w:val="none" w:sz="0" w:space="0" w:color="auto"/>
            <w:left w:val="none" w:sz="0" w:space="0" w:color="auto"/>
            <w:bottom w:val="none" w:sz="0" w:space="0" w:color="auto"/>
            <w:right w:val="none" w:sz="0" w:space="0" w:color="auto"/>
          </w:divBdr>
        </w:div>
        <w:div w:id="859785255">
          <w:marLeft w:val="0"/>
          <w:marRight w:val="0"/>
          <w:marTop w:val="0"/>
          <w:marBottom w:val="0"/>
          <w:divBdr>
            <w:top w:val="none" w:sz="0" w:space="0" w:color="auto"/>
            <w:left w:val="none" w:sz="0" w:space="0" w:color="auto"/>
            <w:bottom w:val="none" w:sz="0" w:space="0" w:color="auto"/>
            <w:right w:val="none" w:sz="0" w:space="0" w:color="auto"/>
          </w:divBdr>
          <w:divsChild>
            <w:div w:id="937910804">
              <w:marLeft w:val="0"/>
              <w:marRight w:val="0"/>
              <w:marTop w:val="0"/>
              <w:marBottom w:val="0"/>
              <w:divBdr>
                <w:top w:val="none" w:sz="0" w:space="0" w:color="auto"/>
                <w:left w:val="none" w:sz="0" w:space="0" w:color="auto"/>
                <w:bottom w:val="none" w:sz="0" w:space="0" w:color="auto"/>
                <w:right w:val="none" w:sz="0" w:space="0" w:color="auto"/>
              </w:divBdr>
              <w:divsChild>
                <w:div w:id="9686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54404">
      <w:bodyDiv w:val="1"/>
      <w:marLeft w:val="0"/>
      <w:marRight w:val="0"/>
      <w:marTop w:val="0"/>
      <w:marBottom w:val="0"/>
      <w:divBdr>
        <w:top w:val="none" w:sz="0" w:space="0" w:color="auto"/>
        <w:left w:val="none" w:sz="0" w:space="0" w:color="auto"/>
        <w:bottom w:val="none" w:sz="0" w:space="0" w:color="auto"/>
        <w:right w:val="none" w:sz="0" w:space="0" w:color="auto"/>
      </w:divBdr>
    </w:div>
    <w:div w:id="1161510387">
      <w:bodyDiv w:val="1"/>
      <w:marLeft w:val="0"/>
      <w:marRight w:val="0"/>
      <w:marTop w:val="0"/>
      <w:marBottom w:val="0"/>
      <w:divBdr>
        <w:top w:val="none" w:sz="0" w:space="0" w:color="auto"/>
        <w:left w:val="none" w:sz="0" w:space="0" w:color="auto"/>
        <w:bottom w:val="none" w:sz="0" w:space="0" w:color="auto"/>
        <w:right w:val="none" w:sz="0" w:space="0" w:color="auto"/>
      </w:divBdr>
      <w:divsChild>
        <w:div w:id="826357236">
          <w:marLeft w:val="720"/>
          <w:marRight w:val="0"/>
          <w:marTop w:val="0"/>
          <w:marBottom w:val="0"/>
          <w:divBdr>
            <w:top w:val="none" w:sz="0" w:space="0" w:color="auto"/>
            <w:left w:val="none" w:sz="0" w:space="0" w:color="auto"/>
            <w:bottom w:val="none" w:sz="0" w:space="0" w:color="auto"/>
            <w:right w:val="none" w:sz="0" w:space="0" w:color="auto"/>
          </w:divBdr>
        </w:div>
        <w:div w:id="1780679815">
          <w:marLeft w:val="720"/>
          <w:marRight w:val="0"/>
          <w:marTop w:val="0"/>
          <w:marBottom w:val="0"/>
          <w:divBdr>
            <w:top w:val="none" w:sz="0" w:space="0" w:color="auto"/>
            <w:left w:val="none" w:sz="0" w:space="0" w:color="auto"/>
            <w:bottom w:val="none" w:sz="0" w:space="0" w:color="auto"/>
            <w:right w:val="none" w:sz="0" w:space="0" w:color="auto"/>
          </w:divBdr>
        </w:div>
        <w:div w:id="942615477">
          <w:marLeft w:val="720"/>
          <w:marRight w:val="0"/>
          <w:marTop w:val="0"/>
          <w:marBottom w:val="0"/>
          <w:divBdr>
            <w:top w:val="none" w:sz="0" w:space="0" w:color="auto"/>
            <w:left w:val="none" w:sz="0" w:space="0" w:color="auto"/>
            <w:bottom w:val="none" w:sz="0" w:space="0" w:color="auto"/>
            <w:right w:val="none" w:sz="0" w:space="0" w:color="auto"/>
          </w:divBdr>
        </w:div>
      </w:divsChild>
    </w:div>
    <w:div w:id="1263536256">
      <w:bodyDiv w:val="1"/>
      <w:marLeft w:val="0"/>
      <w:marRight w:val="0"/>
      <w:marTop w:val="0"/>
      <w:marBottom w:val="0"/>
      <w:divBdr>
        <w:top w:val="none" w:sz="0" w:space="0" w:color="auto"/>
        <w:left w:val="none" w:sz="0" w:space="0" w:color="auto"/>
        <w:bottom w:val="none" w:sz="0" w:space="0" w:color="auto"/>
        <w:right w:val="none" w:sz="0" w:space="0" w:color="auto"/>
      </w:divBdr>
      <w:divsChild>
        <w:div w:id="55934925">
          <w:marLeft w:val="720"/>
          <w:marRight w:val="0"/>
          <w:marTop w:val="0"/>
          <w:marBottom w:val="0"/>
          <w:divBdr>
            <w:top w:val="none" w:sz="0" w:space="0" w:color="auto"/>
            <w:left w:val="none" w:sz="0" w:space="0" w:color="auto"/>
            <w:bottom w:val="none" w:sz="0" w:space="0" w:color="auto"/>
            <w:right w:val="none" w:sz="0" w:space="0" w:color="auto"/>
          </w:divBdr>
        </w:div>
        <w:div w:id="899824453">
          <w:marLeft w:val="720"/>
          <w:marRight w:val="0"/>
          <w:marTop w:val="0"/>
          <w:marBottom w:val="0"/>
          <w:divBdr>
            <w:top w:val="none" w:sz="0" w:space="0" w:color="auto"/>
            <w:left w:val="none" w:sz="0" w:space="0" w:color="auto"/>
            <w:bottom w:val="none" w:sz="0" w:space="0" w:color="auto"/>
            <w:right w:val="none" w:sz="0" w:space="0" w:color="auto"/>
          </w:divBdr>
        </w:div>
        <w:div w:id="709569232">
          <w:marLeft w:val="720"/>
          <w:marRight w:val="0"/>
          <w:marTop w:val="0"/>
          <w:marBottom w:val="0"/>
          <w:divBdr>
            <w:top w:val="none" w:sz="0" w:space="0" w:color="auto"/>
            <w:left w:val="none" w:sz="0" w:space="0" w:color="auto"/>
            <w:bottom w:val="none" w:sz="0" w:space="0" w:color="auto"/>
            <w:right w:val="none" w:sz="0" w:space="0" w:color="auto"/>
          </w:divBdr>
        </w:div>
        <w:div w:id="1185559388">
          <w:marLeft w:val="720"/>
          <w:marRight w:val="0"/>
          <w:marTop w:val="0"/>
          <w:marBottom w:val="0"/>
          <w:divBdr>
            <w:top w:val="none" w:sz="0" w:space="0" w:color="auto"/>
            <w:left w:val="none" w:sz="0" w:space="0" w:color="auto"/>
            <w:bottom w:val="none" w:sz="0" w:space="0" w:color="auto"/>
            <w:right w:val="none" w:sz="0" w:space="0" w:color="auto"/>
          </w:divBdr>
        </w:div>
        <w:div w:id="22482763">
          <w:marLeft w:val="720"/>
          <w:marRight w:val="0"/>
          <w:marTop w:val="0"/>
          <w:marBottom w:val="0"/>
          <w:divBdr>
            <w:top w:val="none" w:sz="0" w:space="0" w:color="auto"/>
            <w:left w:val="none" w:sz="0" w:space="0" w:color="auto"/>
            <w:bottom w:val="none" w:sz="0" w:space="0" w:color="auto"/>
            <w:right w:val="none" w:sz="0" w:space="0" w:color="auto"/>
          </w:divBdr>
        </w:div>
      </w:divsChild>
    </w:div>
    <w:div w:id="1653296281">
      <w:bodyDiv w:val="1"/>
      <w:marLeft w:val="0"/>
      <w:marRight w:val="0"/>
      <w:marTop w:val="0"/>
      <w:marBottom w:val="0"/>
      <w:divBdr>
        <w:top w:val="none" w:sz="0" w:space="0" w:color="auto"/>
        <w:left w:val="none" w:sz="0" w:space="0" w:color="auto"/>
        <w:bottom w:val="none" w:sz="0" w:space="0" w:color="auto"/>
        <w:right w:val="none" w:sz="0" w:space="0" w:color="auto"/>
      </w:divBdr>
      <w:divsChild>
        <w:div w:id="2073507000">
          <w:marLeft w:val="720"/>
          <w:marRight w:val="0"/>
          <w:marTop w:val="0"/>
          <w:marBottom w:val="0"/>
          <w:divBdr>
            <w:top w:val="none" w:sz="0" w:space="0" w:color="auto"/>
            <w:left w:val="none" w:sz="0" w:space="0" w:color="auto"/>
            <w:bottom w:val="none" w:sz="0" w:space="0" w:color="auto"/>
            <w:right w:val="none" w:sz="0" w:space="0" w:color="auto"/>
          </w:divBdr>
        </w:div>
        <w:div w:id="866409010">
          <w:marLeft w:val="720"/>
          <w:marRight w:val="0"/>
          <w:marTop w:val="0"/>
          <w:marBottom w:val="0"/>
          <w:divBdr>
            <w:top w:val="none" w:sz="0" w:space="0" w:color="auto"/>
            <w:left w:val="none" w:sz="0" w:space="0" w:color="auto"/>
            <w:bottom w:val="none" w:sz="0" w:space="0" w:color="auto"/>
            <w:right w:val="none" w:sz="0" w:space="0" w:color="auto"/>
          </w:divBdr>
        </w:div>
        <w:div w:id="1200511750">
          <w:marLeft w:val="720"/>
          <w:marRight w:val="0"/>
          <w:marTop w:val="0"/>
          <w:marBottom w:val="0"/>
          <w:divBdr>
            <w:top w:val="none" w:sz="0" w:space="0" w:color="auto"/>
            <w:left w:val="none" w:sz="0" w:space="0" w:color="auto"/>
            <w:bottom w:val="none" w:sz="0" w:space="0" w:color="auto"/>
            <w:right w:val="none" w:sz="0" w:space="0" w:color="auto"/>
          </w:divBdr>
        </w:div>
        <w:div w:id="393547739">
          <w:marLeft w:val="720"/>
          <w:marRight w:val="0"/>
          <w:marTop w:val="0"/>
          <w:marBottom w:val="0"/>
          <w:divBdr>
            <w:top w:val="none" w:sz="0" w:space="0" w:color="auto"/>
            <w:left w:val="none" w:sz="0" w:space="0" w:color="auto"/>
            <w:bottom w:val="none" w:sz="0" w:space="0" w:color="auto"/>
            <w:right w:val="none" w:sz="0" w:space="0" w:color="auto"/>
          </w:divBdr>
        </w:div>
        <w:div w:id="1702899578">
          <w:marLeft w:val="720"/>
          <w:marRight w:val="0"/>
          <w:marTop w:val="0"/>
          <w:marBottom w:val="0"/>
          <w:divBdr>
            <w:top w:val="none" w:sz="0" w:space="0" w:color="auto"/>
            <w:left w:val="none" w:sz="0" w:space="0" w:color="auto"/>
            <w:bottom w:val="none" w:sz="0" w:space="0" w:color="auto"/>
            <w:right w:val="none" w:sz="0" w:space="0" w:color="auto"/>
          </w:divBdr>
        </w:div>
        <w:div w:id="687371044">
          <w:marLeft w:val="720"/>
          <w:marRight w:val="0"/>
          <w:marTop w:val="0"/>
          <w:marBottom w:val="0"/>
          <w:divBdr>
            <w:top w:val="none" w:sz="0" w:space="0" w:color="auto"/>
            <w:left w:val="none" w:sz="0" w:space="0" w:color="auto"/>
            <w:bottom w:val="none" w:sz="0" w:space="0" w:color="auto"/>
            <w:right w:val="none" w:sz="0" w:space="0" w:color="auto"/>
          </w:divBdr>
        </w:div>
      </w:divsChild>
    </w:div>
    <w:div w:id="1801877657">
      <w:bodyDiv w:val="1"/>
      <w:marLeft w:val="0"/>
      <w:marRight w:val="0"/>
      <w:marTop w:val="0"/>
      <w:marBottom w:val="0"/>
      <w:divBdr>
        <w:top w:val="none" w:sz="0" w:space="0" w:color="auto"/>
        <w:left w:val="none" w:sz="0" w:space="0" w:color="auto"/>
        <w:bottom w:val="none" w:sz="0" w:space="0" w:color="auto"/>
        <w:right w:val="none" w:sz="0" w:space="0" w:color="auto"/>
      </w:divBdr>
      <w:divsChild>
        <w:div w:id="1742556314">
          <w:marLeft w:val="720"/>
          <w:marRight w:val="0"/>
          <w:marTop w:val="0"/>
          <w:marBottom w:val="0"/>
          <w:divBdr>
            <w:top w:val="none" w:sz="0" w:space="0" w:color="auto"/>
            <w:left w:val="none" w:sz="0" w:space="0" w:color="auto"/>
            <w:bottom w:val="none" w:sz="0" w:space="0" w:color="auto"/>
            <w:right w:val="none" w:sz="0" w:space="0" w:color="auto"/>
          </w:divBdr>
        </w:div>
        <w:div w:id="1279753516">
          <w:marLeft w:val="720"/>
          <w:marRight w:val="0"/>
          <w:marTop w:val="0"/>
          <w:marBottom w:val="0"/>
          <w:divBdr>
            <w:top w:val="none" w:sz="0" w:space="0" w:color="auto"/>
            <w:left w:val="none" w:sz="0" w:space="0" w:color="auto"/>
            <w:bottom w:val="none" w:sz="0" w:space="0" w:color="auto"/>
            <w:right w:val="none" w:sz="0" w:space="0" w:color="auto"/>
          </w:divBdr>
        </w:div>
        <w:div w:id="1410617061">
          <w:marLeft w:val="1440"/>
          <w:marRight w:val="0"/>
          <w:marTop w:val="0"/>
          <w:marBottom w:val="0"/>
          <w:divBdr>
            <w:top w:val="none" w:sz="0" w:space="0" w:color="auto"/>
            <w:left w:val="none" w:sz="0" w:space="0" w:color="auto"/>
            <w:bottom w:val="none" w:sz="0" w:space="0" w:color="auto"/>
            <w:right w:val="none" w:sz="0" w:space="0" w:color="auto"/>
          </w:divBdr>
        </w:div>
        <w:div w:id="457725320">
          <w:marLeft w:val="720"/>
          <w:marRight w:val="0"/>
          <w:marTop w:val="0"/>
          <w:marBottom w:val="0"/>
          <w:divBdr>
            <w:top w:val="none" w:sz="0" w:space="0" w:color="auto"/>
            <w:left w:val="none" w:sz="0" w:space="0" w:color="auto"/>
            <w:bottom w:val="none" w:sz="0" w:space="0" w:color="auto"/>
            <w:right w:val="none" w:sz="0" w:space="0" w:color="auto"/>
          </w:divBdr>
        </w:div>
      </w:divsChild>
    </w:div>
    <w:div w:id="2083285635">
      <w:bodyDiv w:val="1"/>
      <w:marLeft w:val="0"/>
      <w:marRight w:val="0"/>
      <w:marTop w:val="0"/>
      <w:marBottom w:val="0"/>
      <w:divBdr>
        <w:top w:val="none" w:sz="0" w:space="0" w:color="auto"/>
        <w:left w:val="none" w:sz="0" w:space="0" w:color="auto"/>
        <w:bottom w:val="none" w:sz="0" w:space="0" w:color="auto"/>
        <w:right w:val="none" w:sz="0" w:space="0" w:color="auto"/>
      </w:divBdr>
      <w:divsChild>
        <w:div w:id="1071738212">
          <w:marLeft w:val="720"/>
          <w:marRight w:val="0"/>
          <w:marTop w:val="0"/>
          <w:marBottom w:val="0"/>
          <w:divBdr>
            <w:top w:val="none" w:sz="0" w:space="0" w:color="auto"/>
            <w:left w:val="none" w:sz="0" w:space="0" w:color="auto"/>
            <w:bottom w:val="none" w:sz="0" w:space="0" w:color="auto"/>
            <w:right w:val="none" w:sz="0" w:space="0" w:color="auto"/>
          </w:divBdr>
        </w:div>
        <w:div w:id="1148395439">
          <w:marLeft w:val="720"/>
          <w:marRight w:val="0"/>
          <w:marTop w:val="0"/>
          <w:marBottom w:val="0"/>
          <w:divBdr>
            <w:top w:val="none" w:sz="0" w:space="0" w:color="auto"/>
            <w:left w:val="none" w:sz="0" w:space="0" w:color="auto"/>
            <w:bottom w:val="none" w:sz="0" w:space="0" w:color="auto"/>
            <w:right w:val="none" w:sz="0" w:space="0" w:color="auto"/>
          </w:divBdr>
        </w:div>
        <w:div w:id="84259647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7704</Characters>
  <Application>Microsoft Macintosh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millerg</dc:creator>
  <cp:keywords/>
  <dc:description/>
  <cp:lastModifiedBy>Kimberly Vlies</cp:lastModifiedBy>
  <cp:revision>2</cp:revision>
  <cp:lastPrinted>2014-10-09T14:38:00Z</cp:lastPrinted>
  <dcterms:created xsi:type="dcterms:W3CDTF">2014-10-09T14:39:00Z</dcterms:created>
  <dcterms:modified xsi:type="dcterms:W3CDTF">2014-10-09T14:39:00Z</dcterms:modified>
</cp:coreProperties>
</file>